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E3" w:rsidRPr="00C521E3" w:rsidRDefault="00C521E3" w:rsidP="00C521E3">
      <w:pPr>
        <w:pStyle w:val="ListParagraph"/>
        <w:rPr>
          <w:i/>
        </w:rPr>
      </w:pPr>
      <w:bookmarkStart w:id="0" w:name="_GoBack"/>
      <w:bookmarkEnd w:id="0"/>
      <w:r w:rsidRPr="00C521E3">
        <w:rPr>
          <w:i/>
        </w:rPr>
        <w:t>About the presenter</w:t>
      </w:r>
    </w:p>
    <w:p w:rsidR="00073FA1" w:rsidRDefault="00073FA1" w:rsidP="00962EB3">
      <w:pPr>
        <w:pStyle w:val="ListParagraph"/>
        <w:numPr>
          <w:ilvl w:val="0"/>
          <w:numId w:val="1"/>
        </w:numPr>
      </w:pPr>
      <w:r>
        <w:t xml:space="preserve">Michael Hines has been practising as a barrister for over twenty years.  He appears in and advises on family law property disputes, wills and estates, equity, </w:t>
      </w:r>
      <w:r w:rsidR="00C521E3">
        <w:t>commercial,</w:t>
      </w:r>
      <w:r>
        <w:t xml:space="preserve"> and revenue cases.  He has appeared in many reported cases including </w:t>
      </w:r>
      <w:r w:rsidRPr="00C521E3">
        <w:rPr>
          <w:i/>
        </w:rPr>
        <w:t>Kennon v Spry</w:t>
      </w:r>
      <w:r>
        <w:t xml:space="preserve"> in the High Court</w:t>
      </w:r>
      <w:r w:rsidR="00C521E3">
        <w:t xml:space="preserve"> and </w:t>
      </w:r>
      <w:proofErr w:type="gramStart"/>
      <w:r w:rsidR="00C521E3" w:rsidRPr="00C521E3">
        <w:rPr>
          <w:i/>
        </w:rPr>
        <w:t>Stephens</w:t>
      </w:r>
      <w:proofErr w:type="gramEnd"/>
      <w:r w:rsidR="00C521E3" w:rsidRPr="00C521E3">
        <w:rPr>
          <w:i/>
        </w:rPr>
        <w:t xml:space="preserve"> v Stephens</w:t>
      </w:r>
      <w:r w:rsidR="00931200">
        <w:t>, a related</w:t>
      </w:r>
      <w:r w:rsidR="00C521E3">
        <w:t xml:space="preserve"> family law property case in the Full Family Court</w:t>
      </w:r>
      <w:r>
        <w:t>.</w:t>
      </w:r>
      <w:r w:rsidR="00C521E3">
        <w:t xml:space="preserve">  He is a past part time senior lecturer and fellow of the Law School of the University of Melbourne teaching post graduate tax, and the author of numerous articles and of the LBC loose leaf service, “Stamp Duties Victoria”.  Michael is on </w:t>
      </w:r>
      <w:proofErr w:type="spellStart"/>
      <w:r w:rsidR="00C521E3">
        <w:t>Dever’s</w:t>
      </w:r>
      <w:proofErr w:type="spellEnd"/>
      <w:r w:rsidR="00C521E3">
        <w:t xml:space="preserve"> List.</w:t>
      </w:r>
      <w:r>
        <w:t xml:space="preserve">  </w:t>
      </w:r>
    </w:p>
    <w:p w:rsidR="00F8342A" w:rsidRPr="00C1714B" w:rsidRDefault="00F8342A" w:rsidP="00F8342A">
      <w:pPr>
        <w:pStyle w:val="ListParagraph"/>
        <w:rPr>
          <w:i/>
          <w:sz w:val="32"/>
        </w:rPr>
      </w:pPr>
    </w:p>
    <w:p w:rsidR="00245464" w:rsidRPr="00245464" w:rsidRDefault="00245464" w:rsidP="00F8342A">
      <w:pPr>
        <w:pStyle w:val="ListParagraph"/>
        <w:rPr>
          <w:sz w:val="32"/>
        </w:rPr>
      </w:pPr>
    </w:p>
    <w:p w:rsidR="00453855" w:rsidRPr="00C1714B" w:rsidRDefault="00453855" w:rsidP="00F8342A">
      <w:pPr>
        <w:pStyle w:val="ListParagraph"/>
        <w:rPr>
          <w:i/>
          <w:sz w:val="32"/>
        </w:rPr>
      </w:pPr>
      <w:r w:rsidRPr="00C1714B">
        <w:rPr>
          <w:i/>
          <w:sz w:val="32"/>
        </w:rPr>
        <w:t>Appeals from property orders</w:t>
      </w:r>
    </w:p>
    <w:p w:rsidR="001C1FE0" w:rsidRDefault="003F1D01" w:rsidP="001C1FE0">
      <w:pPr>
        <w:pStyle w:val="ListParagraph"/>
        <w:numPr>
          <w:ilvl w:val="0"/>
          <w:numId w:val="1"/>
        </w:numPr>
        <w:rPr>
          <w:sz w:val="32"/>
        </w:rPr>
      </w:pPr>
      <w:r>
        <w:rPr>
          <w:sz w:val="32"/>
        </w:rPr>
        <w:t>At present, t</w:t>
      </w:r>
      <w:r w:rsidR="00453855" w:rsidRPr="00C1714B">
        <w:rPr>
          <w:sz w:val="32"/>
        </w:rPr>
        <w:t xml:space="preserve">he appeal may </w:t>
      </w:r>
      <w:r w:rsidR="00C1714B" w:rsidRPr="00C1714B">
        <w:rPr>
          <w:sz w:val="32"/>
        </w:rPr>
        <w:t>be from the Federal Circuit</w:t>
      </w:r>
      <w:r w:rsidR="00453855" w:rsidRPr="00C1714B">
        <w:rPr>
          <w:sz w:val="32"/>
        </w:rPr>
        <w:t xml:space="preserve"> Court to a single Judge of the Family Court, or to the Full Court.</w:t>
      </w:r>
      <w:r w:rsidR="00070733" w:rsidRPr="00C1714B">
        <w:rPr>
          <w:rStyle w:val="FootnoteReference"/>
          <w:sz w:val="32"/>
        </w:rPr>
        <w:footnoteReference w:id="1"/>
      </w:r>
      <w:r w:rsidR="00453855" w:rsidRPr="00C1714B">
        <w:rPr>
          <w:sz w:val="32"/>
        </w:rPr>
        <w:t xml:space="preserve">  The appeal may also be from a single Judge of the Family Court exercising its original jurisdiction to the Full Court.</w:t>
      </w:r>
      <w:r w:rsidR="00070733" w:rsidRPr="00C1714B">
        <w:rPr>
          <w:rStyle w:val="FootnoteReference"/>
          <w:sz w:val="32"/>
        </w:rPr>
        <w:footnoteReference w:id="2"/>
      </w:r>
      <w:r w:rsidR="00453855" w:rsidRPr="00C1714B">
        <w:rPr>
          <w:sz w:val="32"/>
        </w:rPr>
        <w:t xml:space="preserve">  There is no further appeal, except to the</w:t>
      </w:r>
      <w:r w:rsidR="00E354FC" w:rsidRPr="00C1714B">
        <w:rPr>
          <w:sz w:val="32"/>
        </w:rPr>
        <w:t xml:space="preserve"> High Court.</w:t>
      </w:r>
      <w:r w:rsidR="00070733" w:rsidRPr="00C1714B">
        <w:rPr>
          <w:rStyle w:val="FootnoteReference"/>
          <w:sz w:val="32"/>
        </w:rPr>
        <w:footnoteReference w:id="3"/>
      </w:r>
      <w:r w:rsidR="00E354FC" w:rsidRPr="00C1714B">
        <w:rPr>
          <w:sz w:val="32"/>
        </w:rPr>
        <w:t xml:space="preserve"> </w:t>
      </w:r>
    </w:p>
    <w:p w:rsidR="001C1FE0" w:rsidRPr="001C1FE0" w:rsidRDefault="00E008D7" w:rsidP="001C1FE0">
      <w:pPr>
        <w:ind w:left="360" w:firstLine="360"/>
        <w:rPr>
          <w:sz w:val="32"/>
        </w:rPr>
      </w:pPr>
      <w:r w:rsidRPr="001C1FE0">
        <w:rPr>
          <w:i/>
          <w:sz w:val="32"/>
        </w:rPr>
        <w:t>Changes from 1 January 2019</w:t>
      </w:r>
      <w:r w:rsidR="00E354FC" w:rsidRPr="001C1FE0">
        <w:rPr>
          <w:rFonts w:ascii="Calibri" w:hAnsi="Calibri"/>
          <w:sz w:val="32"/>
        </w:rPr>
        <w:t xml:space="preserve"> </w:t>
      </w:r>
    </w:p>
    <w:p w:rsidR="001C1FE0" w:rsidRPr="001C1FE0" w:rsidRDefault="00E008D7" w:rsidP="001C1FE0">
      <w:pPr>
        <w:pStyle w:val="ListParagraph"/>
        <w:numPr>
          <w:ilvl w:val="0"/>
          <w:numId w:val="1"/>
        </w:numPr>
        <w:rPr>
          <w:sz w:val="32"/>
        </w:rPr>
      </w:pPr>
      <w:r w:rsidRPr="001C1FE0">
        <w:rPr>
          <w:rFonts w:ascii="Calibri" w:eastAsia="Times New Roman" w:hAnsi="Calibri" w:cs="Times New Roman"/>
          <w:color w:val="111111"/>
          <w:sz w:val="32"/>
          <w:szCs w:val="19"/>
          <w:lang w:eastAsia="en-AU"/>
        </w:rPr>
        <w:t>Under new legislation,</w:t>
      </w:r>
      <w:r w:rsidR="001C1FE0">
        <w:rPr>
          <w:rStyle w:val="FootnoteReference"/>
          <w:rFonts w:ascii="Calibri" w:eastAsia="Times New Roman" w:hAnsi="Calibri" w:cs="Times New Roman"/>
          <w:color w:val="111111"/>
          <w:sz w:val="32"/>
          <w:szCs w:val="19"/>
          <w:lang w:eastAsia="en-AU"/>
        </w:rPr>
        <w:footnoteReference w:id="4"/>
      </w:r>
      <w:r w:rsidRPr="001C1FE0">
        <w:rPr>
          <w:rFonts w:ascii="Calibri" w:eastAsia="Times New Roman" w:hAnsi="Calibri" w:cs="Times New Roman"/>
          <w:color w:val="111111"/>
          <w:sz w:val="32"/>
          <w:szCs w:val="19"/>
          <w:lang w:eastAsia="en-AU"/>
        </w:rPr>
        <w:t xml:space="preserve"> the Family Court of Australia and the Federal Circuit Court of Australia will be brought together as the Federal Circuit and Family Court of Australia (FCFC) from 1 January 2019. The FCFC will comprise two divisi</w:t>
      </w:r>
      <w:r w:rsidR="001C1FE0">
        <w:rPr>
          <w:rFonts w:ascii="Calibri" w:eastAsia="Times New Roman" w:hAnsi="Calibri" w:cs="Times New Roman"/>
          <w:color w:val="111111"/>
          <w:sz w:val="32"/>
          <w:szCs w:val="19"/>
          <w:lang w:eastAsia="en-AU"/>
        </w:rPr>
        <w:t>ons: the FCFC (Division 1) will</w:t>
      </w:r>
      <w:r w:rsidRPr="001C1FE0">
        <w:rPr>
          <w:rFonts w:ascii="Calibri" w:eastAsia="Times New Roman" w:hAnsi="Calibri" w:cs="Times New Roman"/>
          <w:color w:val="111111"/>
          <w:sz w:val="32"/>
          <w:szCs w:val="19"/>
          <w:lang w:eastAsia="en-AU"/>
        </w:rPr>
        <w:t xml:space="preserve"> be a continuation of the Family Court,</w:t>
      </w:r>
      <w:r w:rsidR="001C1FE0">
        <w:rPr>
          <w:rFonts w:ascii="Calibri" w:eastAsia="Times New Roman" w:hAnsi="Calibri" w:cs="Times New Roman"/>
          <w:color w:val="111111"/>
          <w:sz w:val="32"/>
          <w:szCs w:val="19"/>
          <w:lang w:eastAsia="en-AU"/>
        </w:rPr>
        <w:t xml:space="preserve"> and the FCFC (Division 2) will</w:t>
      </w:r>
      <w:r w:rsidRPr="001C1FE0">
        <w:rPr>
          <w:rFonts w:ascii="Calibri" w:eastAsia="Times New Roman" w:hAnsi="Calibri" w:cs="Times New Roman"/>
          <w:color w:val="111111"/>
          <w:sz w:val="32"/>
          <w:szCs w:val="19"/>
          <w:lang w:eastAsia="en-AU"/>
        </w:rPr>
        <w:t xml:space="preserve"> be a continuation of the Federal Circuit Court. As such, the FCFC will preserve the current cohort of Judges of the Family Court and Federal Circuit Court.</w:t>
      </w:r>
    </w:p>
    <w:p w:rsidR="008356F0" w:rsidRPr="008356F0" w:rsidRDefault="00E008D7" w:rsidP="008356F0">
      <w:pPr>
        <w:pStyle w:val="ListParagraph"/>
        <w:numPr>
          <w:ilvl w:val="0"/>
          <w:numId w:val="1"/>
        </w:numPr>
        <w:rPr>
          <w:sz w:val="32"/>
        </w:rPr>
      </w:pPr>
      <w:r w:rsidRPr="001C1FE0">
        <w:rPr>
          <w:rFonts w:ascii="Calibri" w:eastAsia="Times New Roman" w:hAnsi="Calibri" w:cs="Times New Roman"/>
          <w:color w:val="111111"/>
          <w:sz w:val="32"/>
          <w:szCs w:val="19"/>
          <w:lang w:eastAsia="en-AU"/>
        </w:rPr>
        <w:t>A new Family Law Appeal Division in the Fede</w:t>
      </w:r>
      <w:r w:rsidR="003F1D01">
        <w:rPr>
          <w:rFonts w:ascii="Calibri" w:eastAsia="Times New Roman" w:hAnsi="Calibri" w:cs="Times New Roman"/>
          <w:color w:val="111111"/>
          <w:sz w:val="32"/>
          <w:szCs w:val="19"/>
          <w:lang w:eastAsia="en-AU"/>
        </w:rPr>
        <w:t>ral Court of Australia will</w:t>
      </w:r>
      <w:r w:rsidRPr="001C1FE0">
        <w:rPr>
          <w:rFonts w:ascii="Calibri" w:eastAsia="Times New Roman" w:hAnsi="Calibri" w:cs="Times New Roman"/>
          <w:color w:val="111111"/>
          <w:sz w:val="32"/>
          <w:szCs w:val="19"/>
          <w:lang w:eastAsia="en-AU"/>
        </w:rPr>
        <w:t xml:space="preserve"> be established to hear all appeals in family law matters from the FCFC.</w:t>
      </w:r>
    </w:p>
    <w:p w:rsidR="008356F0" w:rsidRPr="008356F0" w:rsidRDefault="001C1FE0" w:rsidP="008356F0">
      <w:pPr>
        <w:pStyle w:val="ListParagraph"/>
        <w:numPr>
          <w:ilvl w:val="0"/>
          <w:numId w:val="1"/>
        </w:numPr>
        <w:rPr>
          <w:sz w:val="32"/>
        </w:rPr>
      </w:pPr>
      <w:r w:rsidRPr="008356F0">
        <w:rPr>
          <w:rFonts w:cstheme="minorHAnsi"/>
          <w:color w:val="000000"/>
          <w:sz w:val="32"/>
          <w:szCs w:val="32"/>
        </w:rPr>
        <w:lastRenderedPageBreak/>
        <w:t xml:space="preserve">Appeals from Division 1 of the Federal Circuit and Family Court of Australia, as a superior court of record, will be heard by the </w:t>
      </w:r>
      <w:hyperlink r:id="rId9" w:history="1">
        <w:r w:rsidRPr="008356F0">
          <w:rPr>
            <w:rStyle w:val="Hyperlink"/>
            <w:rFonts w:cstheme="minorHAnsi"/>
            <w:color w:val="0000BB"/>
            <w:sz w:val="32"/>
            <w:szCs w:val="32"/>
          </w:rPr>
          <w:t>Full Court</w:t>
        </w:r>
      </w:hyperlink>
      <w:r w:rsidRPr="008356F0">
        <w:rPr>
          <w:rFonts w:cstheme="minorHAnsi"/>
          <w:color w:val="000000"/>
          <w:sz w:val="32"/>
          <w:szCs w:val="32"/>
        </w:rPr>
        <w:t xml:space="preserve"> of the Family Law Appeal Division.</w:t>
      </w:r>
    </w:p>
    <w:p w:rsidR="008356F0" w:rsidRPr="008356F0" w:rsidRDefault="001C1FE0" w:rsidP="008356F0">
      <w:pPr>
        <w:pStyle w:val="ListParagraph"/>
        <w:numPr>
          <w:ilvl w:val="0"/>
          <w:numId w:val="1"/>
        </w:numPr>
        <w:rPr>
          <w:sz w:val="32"/>
        </w:rPr>
      </w:pPr>
      <w:r w:rsidRPr="008356F0">
        <w:rPr>
          <w:rFonts w:cstheme="minorHAnsi"/>
          <w:color w:val="000000"/>
          <w:sz w:val="32"/>
          <w:szCs w:val="32"/>
        </w:rPr>
        <w:t xml:space="preserve">Appeals in family law matters from the FCFC Division 2 will ordinarily be heard by a single judge of the Family Law Appeal Division. However, </w:t>
      </w:r>
      <w:r w:rsidR="003F1D01">
        <w:rPr>
          <w:rFonts w:cstheme="minorHAnsi"/>
          <w:color w:val="000000"/>
          <w:sz w:val="32"/>
          <w:szCs w:val="32"/>
        </w:rPr>
        <w:t>there will be provision</w:t>
      </w:r>
      <w:r w:rsidRPr="008356F0">
        <w:rPr>
          <w:rFonts w:cstheme="minorHAnsi"/>
          <w:color w:val="000000"/>
          <w:sz w:val="32"/>
          <w:szCs w:val="32"/>
        </w:rPr>
        <w:t xml:space="preserve"> for the possibility of the Full Court of the Appeal Division hearing the appeal if a</w:t>
      </w:r>
      <w:r w:rsidR="008356F0">
        <w:rPr>
          <w:rFonts w:cstheme="minorHAnsi"/>
          <w:color w:val="000000"/>
          <w:sz w:val="32"/>
          <w:szCs w:val="32"/>
        </w:rPr>
        <w:t xml:space="preserve"> judge considers it appropriate.</w:t>
      </w:r>
    </w:p>
    <w:p w:rsidR="008356F0" w:rsidRPr="008356F0" w:rsidRDefault="001C1FE0" w:rsidP="008356F0">
      <w:pPr>
        <w:pStyle w:val="ListParagraph"/>
        <w:numPr>
          <w:ilvl w:val="0"/>
          <w:numId w:val="1"/>
        </w:numPr>
        <w:rPr>
          <w:sz w:val="32"/>
        </w:rPr>
      </w:pPr>
      <w:r w:rsidRPr="008356F0">
        <w:rPr>
          <w:rFonts w:cstheme="minorHAnsi"/>
          <w:color w:val="000000"/>
          <w:sz w:val="32"/>
          <w:szCs w:val="32"/>
        </w:rPr>
        <w:t>Whilst there will be changes i</w:t>
      </w:r>
      <w:r w:rsidR="003F1D01">
        <w:rPr>
          <w:rFonts w:cstheme="minorHAnsi"/>
          <w:color w:val="000000"/>
          <w:sz w:val="32"/>
          <w:szCs w:val="32"/>
        </w:rPr>
        <w:t>n the appeals pathway, there will be</w:t>
      </w:r>
      <w:r w:rsidRPr="008356F0">
        <w:rPr>
          <w:rFonts w:cstheme="minorHAnsi"/>
          <w:color w:val="000000"/>
          <w:sz w:val="32"/>
          <w:szCs w:val="32"/>
        </w:rPr>
        <w:t xml:space="preserve"> no changes to the existing rights of appeal, as currently provided for under the </w:t>
      </w:r>
      <w:r w:rsidRPr="008356F0">
        <w:rPr>
          <w:rFonts w:cstheme="minorHAnsi"/>
          <w:i/>
          <w:color w:val="000000"/>
          <w:sz w:val="32"/>
          <w:szCs w:val="32"/>
        </w:rPr>
        <w:t>Family Law Act 1975</w:t>
      </w:r>
      <w:r w:rsidRPr="008356F0">
        <w:rPr>
          <w:rFonts w:cstheme="minorHAnsi"/>
          <w:color w:val="000000"/>
          <w:sz w:val="32"/>
          <w:szCs w:val="32"/>
        </w:rPr>
        <w:t>.</w:t>
      </w:r>
    </w:p>
    <w:p w:rsidR="008356F0" w:rsidRPr="008356F0" w:rsidRDefault="001C1FE0" w:rsidP="008356F0">
      <w:pPr>
        <w:pStyle w:val="ListParagraph"/>
        <w:numPr>
          <w:ilvl w:val="0"/>
          <w:numId w:val="1"/>
        </w:numPr>
        <w:rPr>
          <w:sz w:val="32"/>
        </w:rPr>
      </w:pPr>
      <w:r w:rsidRPr="008356F0">
        <w:rPr>
          <w:rFonts w:cstheme="minorHAnsi"/>
          <w:color w:val="000000"/>
          <w:sz w:val="32"/>
          <w:szCs w:val="32"/>
        </w:rPr>
        <w:t>The</w:t>
      </w:r>
      <w:r w:rsidR="008356F0" w:rsidRPr="008356F0">
        <w:rPr>
          <w:rFonts w:cstheme="minorHAnsi"/>
          <w:color w:val="000000"/>
          <w:sz w:val="32"/>
          <w:szCs w:val="32"/>
        </w:rPr>
        <w:t>re will be sa</w:t>
      </w:r>
      <w:r w:rsidRPr="008356F0">
        <w:rPr>
          <w:rFonts w:cstheme="minorHAnsi"/>
          <w:color w:val="000000"/>
          <w:sz w:val="32"/>
          <w:szCs w:val="32"/>
        </w:rPr>
        <w:t>ving and transitional provisions to enable the repeal of the Federal Circuit Court of Australia Act 1999 on 1 January 2019, when the new law comes into effect</w:t>
      </w:r>
      <w:r w:rsidR="008356F0" w:rsidRPr="008356F0">
        <w:rPr>
          <w:rFonts w:cstheme="minorHAnsi"/>
          <w:color w:val="000000"/>
          <w:sz w:val="32"/>
          <w:szCs w:val="32"/>
        </w:rPr>
        <w:t xml:space="preserve"> and consequential amendments to the Commonwealth statute book to reflect the continuation of the Family Court as the FCFC Division 1 and the Federal Circuit Court as the FCFC Division 2, to update legislative references, and to provide for the change in appeal location for family law matters.</w:t>
      </w:r>
    </w:p>
    <w:p w:rsidR="008356F0" w:rsidRPr="008356F0" w:rsidRDefault="008356F0" w:rsidP="008356F0">
      <w:pPr>
        <w:pStyle w:val="ListParagraph"/>
        <w:numPr>
          <w:ilvl w:val="0"/>
          <w:numId w:val="1"/>
        </w:numPr>
        <w:rPr>
          <w:sz w:val="32"/>
        </w:rPr>
      </w:pPr>
      <w:r w:rsidRPr="008356F0">
        <w:rPr>
          <w:rFonts w:cstheme="minorHAnsi"/>
          <w:color w:val="000000"/>
          <w:sz w:val="32"/>
          <w:szCs w:val="32"/>
        </w:rPr>
        <w:t xml:space="preserve">There will be modification of court rules for Divisions 1 and 2 of the Federal Circuit and Family Court of Australia, and amended court rules for the standard rules of court for family law proceedings. </w:t>
      </w:r>
      <w:r w:rsidR="003F1D01">
        <w:rPr>
          <w:rFonts w:cstheme="minorHAnsi"/>
          <w:color w:val="000000"/>
          <w:sz w:val="32"/>
          <w:szCs w:val="32"/>
        </w:rPr>
        <w:t>We are told t</w:t>
      </w:r>
      <w:r w:rsidRPr="008356F0">
        <w:rPr>
          <w:rFonts w:cstheme="minorHAnsi"/>
          <w:color w:val="000000"/>
          <w:sz w:val="32"/>
          <w:szCs w:val="32"/>
        </w:rPr>
        <w:t>he</w:t>
      </w:r>
      <w:r w:rsidR="003F1D01">
        <w:rPr>
          <w:rFonts w:cstheme="minorHAnsi"/>
          <w:color w:val="000000"/>
          <w:sz w:val="32"/>
          <w:szCs w:val="32"/>
        </w:rPr>
        <w:t>y will be harmonised and</w:t>
      </w:r>
      <w:r w:rsidRPr="008356F0">
        <w:rPr>
          <w:rFonts w:cstheme="minorHAnsi"/>
          <w:color w:val="000000"/>
          <w:sz w:val="32"/>
          <w:szCs w:val="32"/>
        </w:rPr>
        <w:t xml:space="preserve"> in place for the court's commencement date of 1 January 2019.</w:t>
      </w:r>
      <w:r>
        <w:rPr>
          <w:rFonts w:cstheme="minorHAnsi"/>
          <w:color w:val="000000"/>
          <w:sz w:val="32"/>
          <w:szCs w:val="32"/>
        </w:rPr>
        <w:t xml:space="preserve">  </w:t>
      </w:r>
    </w:p>
    <w:p w:rsidR="008356F0" w:rsidRPr="008356F0" w:rsidRDefault="00453855" w:rsidP="008356F0">
      <w:pPr>
        <w:ind w:left="360"/>
        <w:rPr>
          <w:sz w:val="32"/>
        </w:rPr>
      </w:pPr>
      <w:r w:rsidRPr="008356F0">
        <w:rPr>
          <w:i/>
          <w:sz w:val="32"/>
        </w:rPr>
        <w:t>Character and nature</w:t>
      </w:r>
      <w:r w:rsidR="00D931DB" w:rsidRPr="008356F0">
        <w:rPr>
          <w:i/>
          <w:sz w:val="32"/>
        </w:rPr>
        <w:t xml:space="preserve"> of appeal</w:t>
      </w:r>
    </w:p>
    <w:p w:rsidR="00453855" w:rsidRPr="008356F0" w:rsidRDefault="00962EB3" w:rsidP="008356F0">
      <w:pPr>
        <w:pStyle w:val="ListParagraph"/>
        <w:numPr>
          <w:ilvl w:val="0"/>
          <w:numId w:val="1"/>
        </w:numPr>
        <w:rPr>
          <w:sz w:val="32"/>
        </w:rPr>
      </w:pPr>
      <w:r w:rsidRPr="008356F0">
        <w:rPr>
          <w:sz w:val="32"/>
        </w:rPr>
        <w:t>An appeal to the Family Court</w:t>
      </w:r>
      <w:r w:rsidR="007C23E0" w:rsidRPr="008356F0">
        <w:rPr>
          <w:sz w:val="32"/>
        </w:rPr>
        <w:t xml:space="preserve"> from the exercise of the </w:t>
      </w:r>
      <w:proofErr w:type="gramStart"/>
      <w:r w:rsidR="007C23E0" w:rsidRPr="008356F0">
        <w:rPr>
          <w:sz w:val="32"/>
        </w:rPr>
        <w:t>discretion,</w:t>
      </w:r>
      <w:proofErr w:type="gramEnd"/>
      <w:r w:rsidRPr="008356F0">
        <w:rPr>
          <w:sz w:val="32"/>
        </w:rPr>
        <w:t xml:space="preserve"> is an appeal by way of rehearing.  </w:t>
      </w:r>
      <w:r w:rsidR="00F46050" w:rsidRPr="008356F0">
        <w:rPr>
          <w:sz w:val="32"/>
        </w:rPr>
        <w:t>T</w:t>
      </w:r>
      <w:r w:rsidR="00453855" w:rsidRPr="008356F0">
        <w:rPr>
          <w:sz w:val="32"/>
        </w:rPr>
        <w:t xml:space="preserve">he appeal court will decide the appeal in accordance with the facts in evidence before the court of appeal including facts which have occurred since the trial (if evidence of such facts is admitted), and </w:t>
      </w:r>
      <w:r w:rsidR="00453855" w:rsidRPr="008356F0">
        <w:rPr>
          <w:sz w:val="32"/>
        </w:rPr>
        <w:lastRenderedPageBreak/>
        <w:t>according to the law in force at the time of the appeal, rather than at the time of the trial.</w:t>
      </w:r>
    </w:p>
    <w:p w:rsidR="00A46F7F" w:rsidRPr="00C1714B" w:rsidRDefault="00F46050" w:rsidP="003918A0">
      <w:pPr>
        <w:pStyle w:val="ListParagraph"/>
        <w:numPr>
          <w:ilvl w:val="0"/>
          <w:numId w:val="1"/>
        </w:numPr>
        <w:rPr>
          <w:sz w:val="32"/>
        </w:rPr>
      </w:pPr>
      <w:r>
        <w:rPr>
          <w:sz w:val="32"/>
        </w:rPr>
        <w:t>T</w:t>
      </w:r>
      <w:r w:rsidR="00B87E78" w:rsidRPr="00C1714B">
        <w:rPr>
          <w:sz w:val="32"/>
        </w:rPr>
        <w:t>he parties</w:t>
      </w:r>
      <w:r w:rsidR="007C23E0" w:rsidRPr="00C1714B">
        <w:rPr>
          <w:sz w:val="32"/>
        </w:rPr>
        <w:t xml:space="preserve"> to the appeal</w:t>
      </w:r>
      <w:r>
        <w:rPr>
          <w:sz w:val="32"/>
        </w:rPr>
        <w:t xml:space="preserve"> do not</w:t>
      </w:r>
      <w:r w:rsidR="00B87E78" w:rsidRPr="00C1714B">
        <w:rPr>
          <w:sz w:val="32"/>
        </w:rPr>
        <w:t xml:space="preserve"> have a free hand to put in new evidence, or to raise new points.</w:t>
      </w:r>
      <w:r w:rsidR="00DF0083" w:rsidRPr="00C1714B">
        <w:rPr>
          <w:rStyle w:val="FootnoteReference"/>
          <w:sz w:val="32"/>
        </w:rPr>
        <w:footnoteReference w:id="5"/>
      </w:r>
      <w:r w:rsidR="00B87E78" w:rsidRPr="00C1714B">
        <w:rPr>
          <w:sz w:val="32"/>
        </w:rPr>
        <w:t xml:space="preserve">  Nor does the appeal court have power to substitute its own discre</w:t>
      </w:r>
      <w:r w:rsidR="007C23E0" w:rsidRPr="00C1714B">
        <w:rPr>
          <w:sz w:val="32"/>
        </w:rPr>
        <w:t>tion for that of the court at first instance</w:t>
      </w:r>
      <w:r w:rsidR="00B87E78" w:rsidRPr="00C1714B">
        <w:rPr>
          <w:sz w:val="32"/>
        </w:rPr>
        <w:t xml:space="preserve"> merely because it would exercise the discretion differently.</w:t>
      </w:r>
      <w:r w:rsidR="00297BA1" w:rsidRPr="00C1714B">
        <w:rPr>
          <w:sz w:val="32"/>
        </w:rPr>
        <w:t xml:space="preserve"> </w:t>
      </w:r>
      <w:r w:rsidR="00B87E78" w:rsidRPr="00C1714B">
        <w:rPr>
          <w:sz w:val="32"/>
        </w:rPr>
        <w:t xml:space="preserve"> </w:t>
      </w:r>
      <w:r w:rsidR="00297BA1" w:rsidRPr="00C1714B">
        <w:rPr>
          <w:sz w:val="32"/>
        </w:rPr>
        <w:t xml:space="preserve">It is of the essence of </w:t>
      </w:r>
      <w:proofErr w:type="gramStart"/>
      <w:r w:rsidR="00297BA1" w:rsidRPr="00C1714B">
        <w:rPr>
          <w:sz w:val="32"/>
        </w:rPr>
        <w:t>a discretion</w:t>
      </w:r>
      <w:proofErr w:type="gramEnd"/>
      <w:r w:rsidR="00297BA1" w:rsidRPr="00C1714B">
        <w:rPr>
          <w:sz w:val="32"/>
        </w:rPr>
        <w:t xml:space="preserve"> that opinions may differ as to how it should be exercised.</w:t>
      </w:r>
      <w:r w:rsidR="003918A0" w:rsidRPr="00C1714B">
        <w:rPr>
          <w:sz w:val="32"/>
        </w:rPr>
        <w:t xml:space="preserve">  A successful appellant has to show that the trial court’s purported exercise of discretion was not a true exercise of the discretion residing in the court.</w:t>
      </w:r>
      <w:r w:rsidR="00DF0083" w:rsidRPr="00C1714B">
        <w:rPr>
          <w:rStyle w:val="FootnoteReference"/>
          <w:sz w:val="32"/>
        </w:rPr>
        <w:footnoteReference w:id="6"/>
      </w:r>
    </w:p>
    <w:p w:rsidR="00F8342A" w:rsidRPr="00C1714B" w:rsidRDefault="00F8342A" w:rsidP="00F8342A">
      <w:pPr>
        <w:pStyle w:val="ListParagraph"/>
        <w:rPr>
          <w:sz w:val="32"/>
        </w:rPr>
      </w:pPr>
    </w:p>
    <w:p w:rsidR="00297BA1" w:rsidRPr="00C1714B" w:rsidRDefault="00F8342A" w:rsidP="00F8342A">
      <w:pPr>
        <w:pStyle w:val="ListParagraph"/>
        <w:rPr>
          <w:i/>
          <w:sz w:val="32"/>
        </w:rPr>
      </w:pPr>
      <w:r w:rsidRPr="00C1714B">
        <w:rPr>
          <w:i/>
          <w:color w:val="000000"/>
          <w:sz w:val="32"/>
        </w:rPr>
        <w:t>Steps to take after</w:t>
      </w:r>
      <w:r w:rsidR="00297BA1" w:rsidRPr="00C1714B">
        <w:rPr>
          <w:i/>
          <w:color w:val="000000"/>
          <w:sz w:val="32"/>
        </w:rPr>
        <w:t xml:space="preserve"> receiving instructions to begin an appeal</w:t>
      </w:r>
    </w:p>
    <w:p w:rsidR="00297BA1" w:rsidRPr="00C1714B" w:rsidRDefault="00297BA1" w:rsidP="00297BA1">
      <w:pPr>
        <w:pStyle w:val="ListParagraph"/>
        <w:numPr>
          <w:ilvl w:val="0"/>
          <w:numId w:val="1"/>
        </w:numPr>
        <w:rPr>
          <w:sz w:val="32"/>
        </w:rPr>
      </w:pPr>
      <w:r w:rsidRPr="00C1714B">
        <w:rPr>
          <w:sz w:val="32"/>
        </w:rPr>
        <w:t>You start the appeal by filing Notice of Appeal within 28 days’ after the final orders.</w:t>
      </w:r>
      <w:r w:rsidR="00DF0083" w:rsidRPr="00C1714B">
        <w:rPr>
          <w:rStyle w:val="FootnoteReference"/>
          <w:sz w:val="32"/>
        </w:rPr>
        <w:footnoteReference w:id="7"/>
      </w:r>
      <w:r w:rsidR="00DF0083" w:rsidRPr="00C1714B">
        <w:rPr>
          <w:sz w:val="32"/>
        </w:rPr>
        <w:t xml:space="preserve">  That time can be extended by leave.</w:t>
      </w:r>
      <w:r w:rsidR="00DF0083" w:rsidRPr="00C1714B">
        <w:rPr>
          <w:rStyle w:val="FootnoteReference"/>
          <w:sz w:val="32"/>
        </w:rPr>
        <w:footnoteReference w:id="8"/>
      </w:r>
      <w:r w:rsidRPr="00C1714B">
        <w:rPr>
          <w:sz w:val="32"/>
        </w:rPr>
        <w:t xml:space="preserve"> </w:t>
      </w:r>
      <w:r w:rsidR="00DF0083" w:rsidRPr="00C1714B">
        <w:rPr>
          <w:sz w:val="32"/>
        </w:rPr>
        <w:t xml:space="preserve"> </w:t>
      </w:r>
      <w:r w:rsidRPr="00C1714B">
        <w:rPr>
          <w:sz w:val="32"/>
        </w:rPr>
        <w:t xml:space="preserve"> Any interested party, has to be made a respondent to the appeal, whether a party to the proceedings below or not.</w:t>
      </w:r>
      <w:r w:rsidR="00DB1CE5" w:rsidRPr="00C1714B">
        <w:rPr>
          <w:rStyle w:val="FootnoteReference"/>
          <w:sz w:val="32"/>
        </w:rPr>
        <w:footnoteReference w:id="9"/>
      </w:r>
      <w:r w:rsidR="00DB1CE5" w:rsidRPr="00C1714B">
        <w:rPr>
          <w:sz w:val="32"/>
        </w:rPr>
        <w:t xml:space="preserve">  </w:t>
      </w:r>
    </w:p>
    <w:p w:rsidR="00F8342A" w:rsidRPr="00C1714B" w:rsidRDefault="00F8342A" w:rsidP="00F8342A">
      <w:pPr>
        <w:pStyle w:val="ListParagraph"/>
        <w:rPr>
          <w:sz w:val="32"/>
        </w:rPr>
      </w:pPr>
    </w:p>
    <w:p w:rsidR="003918A0" w:rsidRPr="00C1714B" w:rsidRDefault="003918A0" w:rsidP="00F8342A">
      <w:pPr>
        <w:pStyle w:val="ListParagraph"/>
        <w:rPr>
          <w:i/>
          <w:sz w:val="32"/>
        </w:rPr>
      </w:pPr>
      <w:r w:rsidRPr="00C1714B">
        <w:rPr>
          <w:i/>
          <w:sz w:val="32"/>
        </w:rPr>
        <w:t>Grounds of appeal</w:t>
      </w:r>
    </w:p>
    <w:p w:rsidR="00453855" w:rsidRPr="00C1714B" w:rsidRDefault="00F46050" w:rsidP="003918A0">
      <w:pPr>
        <w:pStyle w:val="ListParagraph"/>
        <w:numPr>
          <w:ilvl w:val="0"/>
          <w:numId w:val="1"/>
        </w:numPr>
        <w:rPr>
          <w:sz w:val="32"/>
        </w:rPr>
      </w:pPr>
      <w:r>
        <w:rPr>
          <w:sz w:val="32"/>
        </w:rPr>
        <w:t xml:space="preserve">These will identify </w:t>
      </w:r>
      <w:r w:rsidR="00F8342A" w:rsidRPr="00C1714B">
        <w:rPr>
          <w:sz w:val="32"/>
        </w:rPr>
        <w:t>errors</w:t>
      </w:r>
      <w:r>
        <w:rPr>
          <w:sz w:val="32"/>
        </w:rPr>
        <w:t xml:space="preserve"> made by the Court below, and (where appropriate)</w:t>
      </w:r>
      <w:r w:rsidR="00297BA1" w:rsidRPr="00C1714B">
        <w:rPr>
          <w:sz w:val="32"/>
        </w:rPr>
        <w:t xml:space="preserve"> findings which, had there been furthe</w:t>
      </w:r>
      <w:r w:rsidR="00840C6F" w:rsidRPr="00C1714B">
        <w:rPr>
          <w:sz w:val="32"/>
        </w:rPr>
        <w:t>r evidence, might</w:t>
      </w:r>
      <w:r w:rsidR="00297BA1" w:rsidRPr="00C1714B">
        <w:rPr>
          <w:sz w:val="32"/>
        </w:rPr>
        <w:t xml:space="preserve"> have been different</w:t>
      </w:r>
      <w:r w:rsidR="003918A0" w:rsidRPr="00C1714B">
        <w:rPr>
          <w:sz w:val="32"/>
        </w:rPr>
        <w:t xml:space="preserve">.  </w:t>
      </w:r>
    </w:p>
    <w:p w:rsidR="00C6460A" w:rsidRPr="00C1714B" w:rsidRDefault="007C23E0" w:rsidP="00962EB3">
      <w:pPr>
        <w:pStyle w:val="ListParagraph"/>
        <w:numPr>
          <w:ilvl w:val="0"/>
          <w:numId w:val="1"/>
        </w:numPr>
        <w:rPr>
          <w:sz w:val="32"/>
        </w:rPr>
      </w:pPr>
      <w:r w:rsidRPr="00C1714B">
        <w:rPr>
          <w:sz w:val="32"/>
        </w:rPr>
        <w:t xml:space="preserve">It may be </w:t>
      </w:r>
      <w:r w:rsidR="00DF01C0" w:rsidRPr="00C1714B">
        <w:rPr>
          <w:sz w:val="32"/>
        </w:rPr>
        <w:t>likely that the order appealed from wo</w:t>
      </w:r>
      <w:r w:rsidRPr="00C1714B">
        <w:rPr>
          <w:sz w:val="32"/>
        </w:rPr>
        <w:t>uld have been made even if</w:t>
      </w:r>
      <w:r w:rsidR="00DF01C0" w:rsidRPr="00C1714B">
        <w:rPr>
          <w:sz w:val="32"/>
        </w:rPr>
        <w:t xml:space="preserve"> the error</w:t>
      </w:r>
      <w:r w:rsidRPr="00C1714B">
        <w:rPr>
          <w:sz w:val="32"/>
        </w:rPr>
        <w:t xml:space="preserve"> had not been made</w:t>
      </w:r>
      <w:r w:rsidR="00840C6F" w:rsidRPr="00C1714B">
        <w:rPr>
          <w:sz w:val="32"/>
        </w:rPr>
        <w:t>, or the further evidence adduced</w:t>
      </w:r>
      <w:r w:rsidR="00DF01C0" w:rsidRPr="00C1714B">
        <w:rPr>
          <w:sz w:val="32"/>
        </w:rPr>
        <w:t>.</w:t>
      </w:r>
      <w:r w:rsidR="00962EB3" w:rsidRPr="00C1714B">
        <w:rPr>
          <w:sz w:val="32"/>
        </w:rPr>
        <w:t xml:space="preserve"> </w:t>
      </w:r>
      <w:r w:rsidR="00DF01C0" w:rsidRPr="00C1714B">
        <w:rPr>
          <w:sz w:val="32"/>
        </w:rPr>
        <w:t xml:space="preserve"> In such a case, the error </w:t>
      </w:r>
      <w:r w:rsidR="00840C6F" w:rsidRPr="00C1714B">
        <w:rPr>
          <w:sz w:val="32"/>
        </w:rPr>
        <w:t xml:space="preserve">or lack of evidence at trial </w:t>
      </w:r>
      <w:r w:rsidR="00DF01C0" w:rsidRPr="00C1714B">
        <w:rPr>
          <w:sz w:val="32"/>
        </w:rPr>
        <w:t>will not provide a good ground of appeal.</w:t>
      </w:r>
      <w:r w:rsidR="00C6460A" w:rsidRPr="00C1714B">
        <w:rPr>
          <w:sz w:val="32"/>
        </w:rPr>
        <w:t xml:space="preserve">  It is immaterial to the result.</w:t>
      </w:r>
    </w:p>
    <w:p w:rsidR="007C23E0" w:rsidRPr="00C1714B" w:rsidRDefault="007C23E0" w:rsidP="00962EB3">
      <w:pPr>
        <w:pStyle w:val="ListParagraph"/>
        <w:numPr>
          <w:ilvl w:val="0"/>
          <w:numId w:val="1"/>
        </w:numPr>
        <w:rPr>
          <w:sz w:val="32"/>
        </w:rPr>
      </w:pPr>
      <w:r w:rsidRPr="00C1714B">
        <w:rPr>
          <w:sz w:val="32"/>
        </w:rPr>
        <w:lastRenderedPageBreak/>
        <w:t>E</w:t>
      </w:r>
      <w:r w:rsidR="00962EB3" w:rsidRPr="00C1714B">
        <w:rPr>
          <w:sz w:val="32"/>
        </w:rPr>
        <w:t>xample</w:t>
      </w:r>
      <w:r w:rsidR="00840C6F" w:rsidRPr="00C1714B">
        <w:rPr>
          <w:sz w:val="32"/>
        </w:rPr>
        <w:t xml:space="preserve">s of appealable errors </w:t>
      </w:r>
      <w:r w:rsidRPr="00C1714B">
        <w:rPr>
          <w:sz w:val="32"/>
        </w:rPr>
        <w:t>are:</w:t>
      </w:r>
      <w:r w:rsidR="00962EB3" w:rsidRPr="00C1714B">
        <w:rPr>
          <w:sz w:val="32"/>
        </w:rPr>
        <w:t xml:space="preserve"> the failure to take</w:t>
      </w:r>
      <w:r w:rsidRPr="00C1714B">
        <w:rPr>
          <w:sz w:val="32"/>
        </w:rPr>
        <w:t xml:space="preserve"> a relevant consideration</w:t>
      </w:r>
      <w:r w:rsidR="00962EB3" w:rsidRPr="00C1714B">
        <w:rPr>
          <w:sz w:val="32"/>
        </w:rPr>
        <w:t xml:space="preserve"> into account, the taking into account of </w:t>
      </w:r>
      <w:r w:rsidRPr="00C1714B">
        <w:rPr>
          <w:sz w:val="32"/>
        </w:rPr>
        <w:t>an irrelevant consideration</w:t>
      </w:r>
      <w:r w:rsidR="00962EB3" w:rsidRPr="00C1714B">
        <w:rPr>
          <w:sz w:val="32"/>
        </w:rPr>
        <w:t>, the application of a wrong legal test, the misconstruction of a statute</w:t>
      </w:r>
      <w:r w:rsidR="00840C6F" w:rsidRPr="00C1714B">
        <w:rPr>
          <w:sz w:val="32"/>
        </w:rPr>
        <w:t>, a finding against the evidence</w:t>
      </w:r>
      <w:r w:rsidR="00962EB3" w:rsidRPr="00C1714B">
        <w:rPr>
          <w:sz w:val="32"/>
        </w:rPr>
        <w:t>.</w:t>
      </w:r>
      <w:r w:rsidRPr="00C1714B">
        <w:rPr>
          <w:sz w:val="32"/>
        </w:rPr>
        <w:t xml:space="preserve">  </w:t>
      </w:r>
    </w:p>
    <w:p w:rsidR="00A4144B" w:rsidRPr="00C1714B" w:rsidRDefault="00A4144B" w:rsidP="003918A0">
      <w:pPr>
        <w:pStyle w:val="ListParagraph"/>
        <w:numPr>
          <w:ilvl w:val="0"/>
          <w:numId w:val="1"/>
        </w:numPr>
        <w:rPr>
          <w:sz w:val="32"/>
        </w:rPr>
      </w:pPr>
      <w:r w:rsidRPr="00C1714B">
        <w:rPr>
          <w:color w:val="000000"/>
          <w:sz w:val="32"/>
          <w:szCs w:val="27"/>
        </w:rPr>
        <w:t>On an</w:t>
      </w:r>
      <w:r w:rsidRPr="00C1714B">
        <w:rPr>
          <w:rStyle w:val="apple-converted-space"/>
          <w:color w:val="000000"/>
          <w:sz w:val="32"/>
          <w:szCs w:val="27"/>
        </w:rPr>
        <w:t> </w:t>
      </w:r>
      <w:r w:rsidRPr="00C1714B">
        <w:rPr>
          <w:sz w:val="32"/>
          <w:szCs w:val="27"/>
        </w:rPr>
        <w:t>appeal</w:t>
      </w:r>
      <w:r w:rsidRPr="00C1714B">
        <w:rPr>
          <w:color w:val="000000"/>
          <w:sz w:val="32"/>
          <w:szCs w:val="27"/>
        </w:rPr>
        <w:t>, the appeal</w:t>
      </w:r>
      <w:r w:rsidRPr="00C1714B">
        <w:rPr>
          <w:sz w:val="32"/>
          <w:szCs w:val="27"/>
        </w:rPr>
        <w:t xml:space="preserve"> court</w:t>
      </w:r>
      <w:r w:rsidRPr="00C1714B">
        <w:rPr>
          <w:rStyle w:val="apple-converted-space"/>
          <w:color w:val="000000"/>
          <w:sz w:val="32"/>
          <w:szCs w:val="27"/>
        </w:rPr>
        <w:t> </w:t>
      </w:r>
      <w:r w:rsidRPr="00C1714B">
        <w:rPr>
          <w:color w:val="000000"/>
          <w:sz w:val="32"/>
          <w:szCs w:val="27"/>
        </w:rPr>
        <w:t>may affirm, reverse or vary the decision the subject of the</w:t>
      </w:r>
      <w:r w:rsidRPr="00C1714B">
        <w:rPr>
          <w:rStyle w:val="apple-converted-space"/>
          <w:color w:val="000000"/>
          <w:sz w:val="32"/>
          <w:szCs w:val="27"/>
        </w:rPr>
        <w:t> </w:t>
      </w:r>
      <w:r w:rsidRPr="00C1714B">
        <w:rPr>
          <w:sz w:val="32"/>
          <w:szCs w:val="27"/>
        </w:rPr>
        <w:t>appeal</w:t>
      </w:r>
      <w:r w:rsidRPr="00C1714B">
        <w:rPr>
          <w:rStyle w:val="apple-converted-space"/>
          <w:color w:val="000000"/>
          <w:sz w:val="32"/>
          <w:szCs w:val="27"/>
        </w:rPr>
        <w:t> </w:t>
      </w:r>
      <w:r w:rsidRPr="00C1714B">
        <w:rPr>
          <w:color w:val="000000"/>
          <w:sz w:val="32"/>
          <w:szCs w:val="27"/>
        </w:rPr>
        <w:t>and may make such</w:t>
      </w:r>
      <w:r w:rsidRPr="00C1714B">
        <w:rPr>
          <w:rStyle w:val="apple-converted-space"/>
          <w:color w:val="000000"/>
          <w:sz w:val="32"/>
          <w:szCs w:val="27"/>
        </w:rPr>
        <w:t xml:space="preserve"> </w:t>
      </w:r>
      <w:r w:rsidRPr="00C1714B">
        <w:rPr>
          <w:color w:val="000000"/>
          <w:sz w:val="32"/>
          <w:szCs w:val="27"/>
        </w:rPr>
        <w:t>decision as, in the opinion of the</w:t>
      </w:r>
      <w:r w:rsidRPr="00C1714B">
        <w:rPr>
          <w:rStyle w:val="apple-converted-space"/>
          <w:color w:val="000000"/>
          <w:sz w:val="32"/>
          <w:szCs w:val="27"/>
        </w:rPr>
        <w:t> </w:t>
      </w:r>
      <w:r w:rsidRPr="00C1714B">
        <w:rPr>
          <w:sz w:val="32"/>
          <w:szCs w:val="27"/>
        </w:rPr>
        <w:t>court</w:t>
      </w:r>
      <w:r w:rsidRPr="00C1714B">
        <w:rPr>
          <w:color w:val="000000"/>
          <w:sz w:val="32"/>
          <w:szCs w:val="27"/>
        </w:rPr>
        <w:t>, ought to have been</w:t>
      </w:r>
      <w:r w:rsidRPr="00C1714B">
        <w:rPr>
          <w:rStyle w:val="apple-converted-space"/>
          <w:color w:val="000000"/>
          <w:sz w:val="32"/>
          <w:szCs w:val="27"/>
        </w:rPr>
        <w:t> </w:t>
      </w:r>
      <w:r w:rsidRPr="00C1714B">
        <w:rPr>
          <w:sz w:val="32"/>
          <w:szCs w:val="27"/>
        </w:rPr>
        <w:t>made</w:t>
      </w:r>
      <w:r w:rsidRPr="00C1714B">
        <w:rPr>
          <w:rStyle w:val="apple-converted-space"/>
          <w:color w:val="000000"/>
          <w:sz w:val="32"/>
          <w:szCs w:val="27"/>
        </w:rPr>
        <w:t> </w:t>
      </w:r>
      <w:r w:rsidRPr="00C1714B">
        <w:rPr>
          <w:color w:val="000000"/>
          <w:sz w:val="32"/>
          <w:szCs w:val="27"/>
        </w:rPr>
        <w:t>in the first instance, or may, if it considers appropriate, order a re-hearing on such terms and conditions, if any, as it considers appropriate.</w:t>
      </w:r>
      <w:r w:rsidR="000116E8" w:rsidRPr="00C1714B">
        <w:rPr>
          <w:rStyle w:val="FootnoteReference"/>
          <w:sz w:val="32"/>
        </w:rPr>
        <w:footnoteReference w:id="10"/>
      </w:r>
    </w:p>
    <w:p w:rsidR="00840C6F" w:rsidRPr="00C1714B" w:rsidRDefault="00F95899" w:rsidP="003918A0">
      <w:pPr>
        <w:pStyle w:val="ListParagraph"/>
        <w:numPr>
          <w:ilvl w:val="0"/>
          <w:numId w:val="1"/>
        </w:numPr>
        <w:rPr>
          <w:sz w:val="32"/>
        </w:rPr>
      </w:pPr>
      <w:r w:rsidRPr="00C1714B">
        <w:rPr>
          <w:sz w:val="32"/>
        </w:rPr>
        <w:t>It is well for the orders sought to begin with an order that the appeal be allowed, thereafter, that the orders appealed be set aside and that in lieu thereof the court order as follows, and to finish with such further or other orders as the Court thinks fit.</w:t>
      </w:r>
    </w:p>
    <w:p w:rsidR="00235C9C" w:rsidRPr="00C1714B" w:rsidRDefault="00235C9C" w:rsidP="003918A0">
      <w:pPr>
        <w:pStyle w:val="ListParagraph"/>
        <w:numPr>
          <w:ilvl w:val="0"/>
          <w:numId w:val="1"/>
        </w:numPr>
        <w:rPr>
          <w:sz w:val="32"/>
        </w:rPr>
      </w:pPr>
      <w:r w:rsidRPr="00C1714B">
        <w:rPr>
          <w:sz w:val="32"/>
        </w:rPr>
        <w:t xml:space="preserve">In some cases, it will be appropriate to seek an order for a retrial rather than final orders, perhaps in the alternative to other relief.  </w:t>
      </w:r>
    </w:p>
    <w:p w:rsidR="00840C6F" w:rsidRPr="00C1714B" w:rsidRDefault="00D931DB" w:rsidP="00840C6F">
      <w:pPr>
        <w:pStyle w:val="ListParagraph"/>
        <w:numPr>
          <w:ilvl w:val="0"/>
          <w:numId w:val="1"/>
        </w:numPr>
        <w:rPr>
          <w:sz w:val="32"/>
        </w:rPr>
      </w:pPr>
      <w:r w:rsidRPr="00C1714B">
        <w:rPr>
          <w:sz w:val="32"/>
        </w:rPr>
        <w:t>If amendment</w:t>
      </w:r>
      <w:r w:rsidR="004B7F27" w:rsidRPr="00C1714B">
        <w:rPr>
          <w:sz w:val="32"/>
        </w:rPr>
        <w:t xml:space="preserve"> of the notice of appeal</w:t>
      </w:r>
      <w:r w:rsidRPr="00C1714B">
        <w:rPr>
          <w:sz w:val="32"/>
        </w:rPr>
        <w:t xml:space="preserve"> is required, it should be done as soon as possible in accordance with the Rules and directions given by the Court where possible.</w:t>
      </w:r>
      <w:r w:rsidR="008A5613" w:rsidRPr="00C1714B">
        <w:rPr>
          <w:rStyle w:val="FootnoteReference"/>
          <w:sz w:val="32"/>
        </w:rPr>
        <w:footnoteReference w:id="11"/>
      </w:r>
      <w:r w:rsidR="00840C6F" w:rsidRPr="00C1714B">
        <w:rPr>
          <w:sz w:val="32"/>
        </w:rPr>
        <w:t xml:space="preserve"> </w:t>
      </w:r>
      <w:r w:rsidR="00731106" w:rsidRPr="00C1714B">
        <w:rPr>
          <w:sz w:val="32"/>
        </w:rPr>
        <w:t xml:space="preserve"> In a complex case, it is likely some amendment will be required.</w:t>
      </w:r>
    </w:p>
    <w:p w:rsidR="00F8342A" w:rsidRPr="00C1714B" w:rsidRDefault="00F8342A" w:rsidP="00F8342A">
      <w:pPr>
        <w:pStyle w:val="ListParagraph"/>
        <w:rPr>
          <w:sz w:val="32"/>
        </w:rPr>
      </w:pPr>
    </w:p>
    <w:p w:rsidR="00DB1CE5" w:rsidRPr="00C1714B" w:rsidRDefault="00DB1CE5" w:rsidP="00F8342A">
      <w:pPr>
        <w:pStyle w:val="ListParagraph"/>
        <w:rPr>
          <w:i/>
          <w:sz w:val="32"/>
        </w:rPr>
      </w:pPr>
      <w:r w:rsidRPr="00C1714B">
        <w:rPr>
          <w:i/>
          <w:sz w:val="32"/>
        </w:rPr>
        <w:t>Stays</w:t>
      </w:r>
    </w:p>
    <w:p w:rsidR="00840C6F" w:rsidRPr="00C1714B" w:rsidRDefault="00731106" w:rsidP="00840C6F">
      <w:pPr>
        <w:pStyle w:val="ListParagraph"/>
        <w:numPr>
          <w:ilvl w:val="0"/>
          <w:numId w:val="1"/>
        </w:numPr>
        <w:rPr>
          <w:sz w:val="32"/>
        </w:rPr>
      </w:pPr>
      <w:r w:rsidRPr="00C1714B">
        <w:rPr>
          <w:sz w:val="32"/>
        </w:rPr>
        <w:t>Having filed the notice</w:t>
      </w:r>
      <w:r w:rsidR="00F8342A" w:rsidRPr="00C1714B">
        <w:rPr>
          <w:sz w:val="32"/>
        </w:rPr>
        <w:t xml:space="preserve"> of appeal</w:t>
      </w:r>
      <w:r w:rsidRPr="00C1714B">
        <w:rPr>
          <w:sz w:val="32"/>
        </w:rPr>
        <w:t>, the appellant should give thought to whether or not to apply for a stay of the orders</w:t>
      </w:r>
      <w:r w:rsidR="00840C6F" w:rsidRPr="00C1714B">
        <w:rPr>
          <w:sz w:val="32"/>
        </w:rPr>
        <w:t>.</w:t>
      </w:r>
      <w:r w:rsidRPr="00C1714B">
        <w:rPr>
          <w:sz w:val="32"/>
        </w:rPr>
        <w:t xml:space="preserve">  In general, an appeal of itself does not operate as a stay.</w:t>
      </w:r>
      <w:r w:rsidR="00E12288" w:rsidRPr="00C1714B">
        <w:rPr>
          <w:rStyle w:val="FootnoteReference"/>
          <w:sz w:val="32"/>
        </w:rPr>
        <w:footnoteReference w:id="12"/>
      </w:r>
    </w:p>
    <w:p w:rsidR="00F8342A" w:rsidRPr="00C1714B" w:rsidRDefault="00F8342A" w:rsidP="00F8342A">
      <w:pPr>
        <w:pStyle w:val="ListParagraph"/>
        <w:rPr>
          <w:sz w:val="32"/>
        </w:rPr>
      </w:pPr>
    </w:p>
    <w:p w:rsidR="00DB1CE5" w:rsidRPr="00C1714B" w:rsidRDefault="00C27A8A" w:rsidP="00F8342A">
      <w:pPr>
        <w:pStyle w:val="ListParagraph"/>
        <w:rPr>
          <w:i/>
          <w:sz w:val="32"/>
        </w:rPr>
      </w:pPr>
      <w:r w:rsidRPr="00C1714B">
        <w:rPr>
          <w:i/>
          <w:sz w:val="32"/>
        </w:rPr>
        <w:t>Directions</w:t>
      </w:r>
    </w:p>
    <w:p w:rsidR="00D931DB" w:rsidRPr="00C1714B" w:rsidRDefault="005D70D2" w:rsidP="00962EB3">
      <w:pPr>
        <w:pStyle w:val="ListParagraph"/>
        <w:numPr>
          <w:ilvl w:val="0"/>
          <w:numId w:val="1"/>
        </w:numPr>
        <w:rPr>
          <w:sz w:val="32"/>
        </w:rPr>
      </w:pPr>
      <w:r w:rsidRPr="00C1714B">
        <w:rPr>
          <w:sz w:val="32"/>
        </w:rPr>
        <w:t xml:space="preserve">After the notice of </w:t>
      </w:r>
      <w:r w:rsidR="00F46050">
        <w:rPr>
          <w:sz w:val="32"/>
        </w:rPr>
        <w:t xml:space="preserve">appeal has been filed, there </w:t>
      </w:r>
      <w:proofErr w:type="gramStart"/>
      <w:r w:rsidR="00F46050">
        <w:rPr>
          <w:sz w:val="32"/>
        </w:rPr>
        <w:t>is</w:t>
      </w:r>
      <w:proofErr w:type="gramEnd"/>
      <w:r w:rsidRPr="00C1714B">
        <w:rPr>
          <w:sz w:val="32"/>
        </w:rPr>
        <w:t xml:space="preserve"> a number of steps to be taken by each party up to the hearing, such as attendance at directions hearings (these may be done by phone), settling the draft index, filing a summary, and so forth.  See Part X of the Act.  </w:t>
      </w:r>
      <w:r w:rsidR="00F8342A" w:rsidRPr="00C1714B">
        <w:rPr>
          <w:sz w:val="32"/>
        </w:rPr>
        <w:t>(</w:t>
      </w:r>
      <w:r w:rsidRPr="00C1714B">
        <w:rPr>
          <w:sz w:val="32"/>
        </w:rPr>
        <w:t>No</w:t>
      </w:r>
      <w:r w:rsidR="00C1714B" w:rsidRPr="00C1714B">
        <w:rPr>
          <w:sz w:val="32"/>
        </w:rPr>
        <w:t>te that the Federal Circuit</w:t>
      </w:r>
      <w:r w:rsidRPr="00C1714B">
        <w:rPr>
          <w:sz w:val="32"/>
        </w:rPr>
        <w:t xml:space="preserve"> Court is not a court of summary jurisdiction for the purposes of the Act and Rules.</w:t>
      </w:r>
      <w:r w:rsidR="00F8342A" w:rsidRPr="00C1714B">
        <w:rPr>
          <w:sz w:val="32"/>
        </w:rPr>
        <w:t>)</w:t>
      </w:r>
      <w:r w:rsidRPr="00C1714B">
        <w:rPr>
          <w:sz w:val="32"/>
        </w:rPr>
        <w:t xml:space="preserve">  See also Chapter </w:t>
      </w:r>
      <w:r w:rsidR="00F14A0B" w:rsidRPr="00C1714B">
        <w:rPr>
          <w:sz w:val="32"/>
        </w:rPr>
        <w:t>22 of the Rules and Practice Dir</w:t>
      </w:r>
      <w:r w:rsidR="00F46050">
        <w:rPr>
          <w:sz w:val="32"/>
        </w:rPr>
        <w:t>ection 1/2017</w:t>
      </w:r>
      <w:r w:rsidRPr="00C1714B">
        <w:rPr>
          <w:sz w:val="32"/>
        </w:rPr>
        <w:t xml:space="preserve"> of the Family Court.  See also any directions made by the Court for the conduct</w:t>
      </w:r>
      <w:r w:rsidR="00003BA1" w:rsidRPr="00C1714B">
        <w:rPr>
          <w:sz w:val="32"/>
        </w:rPr>
        <w:t xml:space="preserve"> or hearing</w:t>
      </w:r>
      <w:r w:rsidRPr="00C1714B">
        <w:rPr>
          <w:sz w:val="32"/>
        </w:rPr>
        <w:t xml:space="preserve"> of the appeal.</w:t>
      </w:r>
      <w:r w:rsidR="00003BA1" w:rsidRPr="00C1714B">
        <w:rPr>
          <w:rStyle w:val="FootnoteReference"/>
          <w:sz w:val="32"/>
        </w:rPr>
        <w:footnoteReference w:id="13"/>
      </w:r>
    </w:p>
    <w:p w:rsidR="005D70D2" w:rsidRPr="00C1714B" w:rsidRDefault="005D70D2" w:rsidP="005D70D2">
      <w:pPr>
        <w:pStyle w:val="ListParagraph"/>
        <w:numPr>
          <w:ilvl w:val="0"/>
          <w:numId w:val="1"/>
        </w:numPr>
        <w:rPr>
          <w:sz w:val="32"/>
        </w:rPr>
      </w:pPr>
      <w:r w:rsidRPr="00C1714B">
        <w:rPr>
          <w:sz w:val="32"/>
        </w:rPr>
        <w:t>Failure to take any of these steps may cause the appeal to be struck out.  An appeal can be reinstated by leave.</w:t>
      </w:r>
      <w:r w:rsidR="00E12288" w:rsidRPr="00C1714B">
        <w:rPr>
          <w:rStyle w:val="FootnoteReference"/>
          <w:sz w:val="32"/>
        </w:rPr>
        <w:footnoteReference w:id="14"/>
      </w:r>
      <w:r w:rsidRPr="00C1714B">
        <w:rPr>
          <w:sz w:val="32"/>
        </w:rPr>
        <w:t xml:space="preserve">  But the applicant has to show that he or she has an arguable appeal.</w:t>
      </w:r>
    </w:p>
    <w:p w:rsidR="00D64D37" w:rsidRPr="00C1714B" w:rsidRDefault="00D64D37" w:rsidP="00D64D37">
      <w:pPr>
        <w:pStyle w:val="ListParagraph"/>
        <w:rPr>
          <w:sz w:val="32"/>
        </w:rPr>
      </w:pPr>
    </w:p>
    <w:p w:rsidR="00D931DB" w:rsidRPr="00C1714B" w:rsidRDefault="005D70D2" w:rsidP="00D64D37">
      <w:pPr>
        <w:pStyle w:val="ListParagraph"/>
        <w:rPr>
          <w:i/>
          <w:sz w:val="32"/>
        </w:rPr>
      </w:pPr>
      <w:r w:rsidRPr="00C1714B">
        <w:rPr>
          <w:i/>
          <w:sz w:val="32"/>
        </w:rPr>
        <w:t>Allowance of f</w:t>
      </w:r>
      <w:r w:rsidR="00D931DB" w:rsidRPr="00C1714B">
        <w:rPr>
          <w:i/>
          <w:sz w:val="32"/>
        </w:rPr>
        <w:t>urther evidence</w:t>
      </w:r>
      <w:r w:rsidRPr="00C1714B">
        <w:rPr>
          <w:i/>
          <w:sz w:val="32"/>
        </w:rPr>
        <w:t xml:space="preserve"> on appeal</w:t>
      </w:r>
    </w:p>
    <w:p w:rsidR="00415302" w:rsidRPr="00C1714B" w:rsidRDefault="00415302" w:rsidP="00962EB3">
      <w:pPr>
        <w:pStyle w:val="ListParagraph"/>
        <w:numPr>
          <w:ilvl w:val="0"/>
          <w:numId w:val="1"/>
        </w:numPr>
        <w:rPr>
          <w:sz w:val="32"/>
        </w:rPr>
      </w:pPr>
      <w:r w:rsidRPr="00C1714B">
        <w:rPr>
          <w:sz w:val="32"/>
        </w:rPr>
        <w:t xml:space="preserve">The appeal is confined to the evidence before the trial court unless circumstances exist where it can admit further evidence under </w:t>
      </w:r>
      <w:proofErr w:type="gramStart"/>
      <w:r w:rsidRPr="00C1714B">
        <w:rPr>
          <w:sz w:val="32"/>
        </w:rPr>
        <w:t>s</w:t>
      </w:r>
      <w:r w:rsidR="00D931DB" w:rsidRPr="00C1714B">
        <w:rPr>
          <w:sz w:val="32"/>
        </w:rPr>
        <w:t>93A(</w:t>
      </w:r>
      <w:proofErr w:type="gramEnd"/>
      <w:r w:rsidR="00D931DB" w:rsidRPr="00C1714B">
        <w:rPr>
          <w:sz w:val="32"/>
        </w:rPr>
        <w:t>2) of the Act</w:t>
      </w:r>
      <w:r w:rsidRPr="00C1714B">
        <w:rPr>
          <w:sz w:val="32"/>
        </w:rPr>
        <w:t>, and it decides in the exercise of its discretion to exercise that power.</w:t>
      </w:r>
    </w:p>
    <w:p w:rsidR="00BA17CE" w:rsidRPr="00C1714B" w:rsidRDefault="00281144" w:rsidP="00BA17CE">
      <w:pPr>
        <w:pStyle w:val="ListParagraph"/>
        <w:numPr>
          <w:ilvl w:val="0"/>
          <w:numId w:val="1"/>
        </w:numPr>
        <w:rPr>
          <w:sz w:val="32"/>
        </w:rPr>
      </w:pPr>
      <w:r w:rsidRPr="00C1714B">
        <w:rPr>
          <w:color w:val="000000"/>
          <w:sz w:val="32"/>
        </w:rPr>
        <w:t>An application for the court to admit further evidence has to be filed together with an affidavit describing or setting out the further evidence.</w:t>
      </w:r>
      <w:r w:rsidR="00D64D37" w:rsidRPr="00C1714B">
        <w:rPr>
          <w:rStyle w:val="FootnoteReference"/>
          <w:color w:val="000000"/>
          <w:sz w:val="32"/>
        </w:rPr>
        <w:footnoteReference w:id="15"/>
      </w:r>
      <w:r w:rsidRPr="00C1714B">
        <w:rPr>
          <w:color w:val="000000"/>
          <w:sz w:val="32"/>
        </w:rPr>
        <w:t xml:space="preserve">  The application is heard on the same day as the appeal.</w:t>
      </w:r>
      <w:r w:rsidR="00D64D37" w:rsidRPr="00C1714B">
        <w:rPr>
          <w:rStyle w:val="FootnoteReference"/>
          <w:color w:val="000000"/>
          <w:sz w:val="32"/>
        </w:rPr>
        <w:footnoteReference w:id="16"/>
      </w:r>
    </w:p>
    <w:p w:rsidR="008B4B4D" w:rsidRPr="00C1714B" w:rsidRDefault="005D70D2" w:rsidP="00F46050">
      <w:pPr>
        <w:pStyle w:val="ListParagraph"/>
        <w:numPr>
          <w:ilvl w:val="0"/>
          <w:numId w:val="1"/>
        </w:numPr>
        <w:rPr>
          <w:sz w:val="32"/>
        </w:rPr>
      </w:pPr>
      <w:r w:rsidRPr="00C1714B">
        <w:rPr>
          <w:sz w:val="32"/>
        </w:rPr>
        <w:t>The rules require that the application and affid</w:t>
      </w:r>
      <w:r w:rsidR="00BA17CE" w:rsidRPr="00C1714B">
        <w:rPr>
          <w:sz w:val="32"/>
        </w:rPr>
        <w:t>avits are filed at least 14 days</w:t>
      </w:r>
      <w:r w:rsidRPr="00C1714B">
        <w:rPr>
          <w:sz w:val="32"/>
        </w:rPr>
        <w:t xml:space="preserve"> before the hearing of the appeal,</w:t>
      </w:r>
      <w:r w:rsidR="00D64D37" w:rsidRPr="00C1714B">
        <w:rPr>
          <w:rStyle w:val="FootnoteReference"/>
          <w:sz w:val="32"/>
        </w:rPr>
        <w:footnoteReference w:id="17"/>
      </w:r>
      <w:r w:rsidRPr="00C1714B">
        <w:rPr>
          <w:sz w:val="32"/>
        </w:rPr>
        <w:t xml:space="preserve"> but in </w:t>
      </w:r>
      <w:r w:rsidRPr="00C1714B">
        <w:rPr>
          <w:sz w:val="32"/>
        </w:rPr>
        <w:lastRenderedPageBreak/>
        <w:t>many cases the court may have made directions requiring these to be filed sooner</w:t>
      </w:r>
    </w:p>
    <w:p w:rsidR="00F94E59" w:rsidRPr="00C1714B" w:rsidRDefault="00F46050" w:rsidP="008B4B4D">
      <w:pPr>
        <w:pStyle w:val="ListParagraph"/>
        <w:numPr>
          <w:ilvl w:val="0"/>
          <w:numId w:val="1"/>
        </w:numPr>
        <w:rPr>
          <w:sz w:val="32"/>
        </w:rPr>
      </w:pPr>
      <w:r>
        <w:rPr>
          <w:sz w:val="32"/>
        </w:rPr>
        <w:t>It will tell against the</w:t>
      </w:r>
      <w:r w:rsidR="00022982" w:rsidRPr="00C1714B">
        <w:rPr>
          <w:sz w:val="32"/>
        </w:rPr>
        <w:t xml:space="preserve"> admission</w:t>
      </w:r>
      <w:r>
        <w:rPr>
          <w:sz w:val="32"/>
        </w:rPr>
        <w:t xml:space="preserve"> of further evidence</w:t>
      </w:r>
      <w:r w:rsidR="00022982" w:rsidRPr="00C1714B">
        <w:rPr>
          <w:sz w:val="32"/>
        </w:rPr>
        <w:t xml:space="preserve">, if at or before the trial, the evidence could have been discovered with the exercise of reasonable diligence by the party applying for its admission. On the other hand, the appeal court may more readily admit the evidence </w:t>
      </w:r>
      <w:r w:rsidR="00F94E59" w:rsidRPr="00C1714B">
        <w:rPr>
          <w:sz w:val="32"/>
        </w:rPr>
        <w:t>where there</w:t>
      </w:r>
      <w:r w:rsidR="00022982" w:rsidRPr="00C1714B">
        <w:rPr>
          <w:sz w:val="32"/>
        </w:rPr>
        <w:t xml:space="preserve"> is no apparent reason </w:t>
      </w:r>
      <w:r w:rsidR="00F94E59" w:rsidRPr="00C1714B">
        <w:rPr>
          <w:sz w:val="32"/>
        </w:rPr>
        <w:t xml:space="preserve">to </w:t>
      </w:r>
      <w:r w:rsidR="008B4B4D" w:rsidRPr="00C1714B">
        <w:rPr>
          <w:sz w:val="32"/>
        </w:rPr>
        <w:t>disbelieve it, especially if</w:t>
      </w:r>
      <w:r w:rsidR="00F94E59" w:rsidRPr="00C1714B">
        <w:rPr>
          <w:sz w:val="32"/>
        </w:rPr>
        <w:t xml:space="preserve"> there can be no serious contention that the evidence co</w:t>
      </w:r>
      <w:r w:rsidR="008B4B4D" w:rsidRPr="00C1714B">
        <w:rPr>
          <w:sz w:val="32"/>
        </w:rPr>
        <w:t>uld be in dispute.  In such a case, the fact that the evidence</w:t>
      </w:r>
      <w:r w:rsidR="00F94E59" w:rsidRPr="00C1714B">
        <w:rPr>
          <w:sz w:val="32"/>
        </w:rPr>
        <w:t xml:space="preserve"> could have been discovered with the exe</w:t>
      </w:r>
      <w:r w:rsidR="008B4B4D" w:rsidRPr="00C1714B">
        <w:rPr>
          <w:sz w:val="32"/>
        </w:rPr>
        <w:t>rcise of reasonable diligence may be</w:t>
      </w:r>
      <w:r w:rsidR="00F94E59" w:rsidRPr="00C1714B">
        <w:rPr>
          <w:sz w:val="32"/>
        </w:rPr>
        <w:t xml:space="preserve"> of little significance: see </w:t>
      </w:r>
      <w:r w:rsidR="00F94E59" w:rsidRPr="00C1714B">
        <w:rPr>
          <w:i/>
          <w:sz w:val="32"/>
        </w:rPr>
        <w:t xml:space="preserve">CDJ v </w:t>
      </w:r>
      <w:proofErr w:type="gramStart"/>
      <w:r w:rsidR="00F94E59" w:rsidRPr="00C1714B">
        <w:rPr>
          <w:i/>
          <w:sz w:val="32"/>
        </w:rPr>
        <w:t>VAJ</w:t>
      </w:r>
      <w:r w:rsidR="008B4B4D" w:rsidRPr="00C1714B">
        <w:rPr>
          <w:sz w:val="32"/>
        </w:rPr>
        <w:t xml:space="preserve"> </w:t>
      </w:r>
      <w:r w:rsidR="00F94E59" w:rsidRPr="00C1714B">
        <w:rPr>
          <w:sz w:val="32"/>
        </w:rPr>
        <w:t xml:space="preserve"> at</w:t>
      </w:r>
      <w:proofErr w:type="gramEnd"/>
      <w:r w:rsidR="00F94E59" w:rsidRPr="00C1714B">
        <w:rPr>
          <w:sz w:val="32"/>
        </w:rPr>
        <w:t xml:space="preserve"> 203.</w:t>
      </w:r>
      <w:r w:rsidR="008B4B4D" w:rsidRPr="00C1714B">
        <w:rPr>
          <w:sz w:val="32"/>
        </w:rPr>
        <w:t xml:space="preserve">  The court may be readier to admit further evidence when the interests of third parties are involved.</w:t>
      </w:r>
      <w:r w:rsidR="00F94E59" w:rsidRPr="00C1714B">
        <w:rPr>
          <w:sz w:val="32"/>
        </w:rPr>
        <w:t xml:space="preserve"> </w:t>
      </w:r>
    </w:p>
    <w:p w:rsidR="00B6172B" w:rsidRPr="00C1714B" w:rsidRDefault="00B6172B" w:rsidP="00B6172B">
      <w:pPr>
        <w:pStyle w:val="ListParagraph"/>
        <w:rPr>
          <w:sz w:val="32"/>
        </w:rPr>
      </w:pPr>
    </w:p>
    <w:p w:rsidR="00F94E59" w:rsidRPr="00C1714B" w:rsidRDefault="00E12288" w:rsidP="00B6172B">
      <w:pPr>
        <w:pStyle w:val="ListParagraph"/>
        <w:rPr>
          <w:i/>
          <w:sz w:val="32"/>
        </w:rPr>
      </w:pPr>
      <w:r w:rsidRPr="00C1714B">
        <w:rPr>
          <w:i/>
          <w:sz w:val="32"/>
        </w:rPr>
        <w:t>Summary of argument</w:t>
      </w:r>
      <w:r w:rsidR="00F14A0B" w:rsidRPr="00C1714B">
        <w:rPr>
          <w:i/>
          <w:sz w:val="32"/>
        </w:rPr>
        <w:t xml:space="preserve"> and list of authorities</w:t>
      </w:r>
    </w:p>
    <w:p w:rsidR="00F14A0B" w:rsidRPr="00C1714B" w:rsidRDefault="00B6172B" w:rsidP="00BA17CE">
      <w:pPr>
        <w:pStyle w:val="ListParagraph"/>
        <w:numPr>
          <w:ilvl w:val="0"/>
          <w:numId w:val="1"/>
        </w:numPr>
        <w:rPr>
          <w:sz w:val="32"/>
        </w:rPr>
      </w:pPr>
      <w:r w:rsidRPr="00C1714B">
        <w:rPr>
          <w:sz w:val="32"/>
        </w:rPr>
        <w:t>Generally, b</w:t>
      </w:r>
      <w:r w:rsidR="00504722" w:rsidRPr="00C1714B">
        <w:rPr>
          <w:sz w:val="32"/>
        </w:rPr>
        <w:t>oth parties are required to file a summary of argument</w:t>
      </w:r>
      <w:r w:rsidR="00FA1058" w:rsidRPr="00C1714B">
        <w:rPr>
          <w:sz w:val="32"/>
        </w:rPr>
        <w:t xml:space="preserve"> and a list of authorities to be relied on</w:t>
      </w:r>
      <w:r w:rsidR="00504722" w:rsidRPr="00C1714B">
        <w:rPr>
          <w:sz w:val="32"/>
        </w:rPr>
        <w:t>.</w:t>
      </w:r>
      <w:r w:rsidRPr="00C1714B">
        <w:rPr>
          <w:rStyle w:val="FootnoteReference"/>
          <w:sz w:val="32"/>
        </w:rPr>
        <w:footnoteReference w:id="18"/>
      </w:r>
      <w:r w:rsidR="00504722" w:rsidRPr="00C1714B">
        <w:rPr>
          <w:sz w:val="32"/>
        </w:rPr>
        <w:t xml:space="preserve"> </w:t>
      </w:r>
    </w:p>
    <w:p w:rsidR="00FA1058" w:rsidRDefault="00FA1058" w:rsidP="00480618">
      <w:pPr>
        <w:pStyle w:val="ListParagraph"/>
        <w:numPr>
          <w:ilvl w:val="0"/>
          <w:numId w:val="1"/>
        </w:numPr>
        <w:rPr>
          <w:sz w:val="32"/>
        </w:rPr>
      </w:pPr>
      <w:r w:rsidRPr="00C1714B">
        <w:rPr>
          <w:sz w:val="32"/>
        </w:rPr>
        <w:t xml:space="preserve">Usually, the court will be anxious </w:t>
      </w:r>
      <w:r w:rsidR="00480618" w:rsidRPr="00C1714B">
        <w:rPr>
          <w:sz w:val="32"/>
        </w:rPr>
        <w:t>to limit the hearing time at least to the number of days or parts of days for which the appeal is listed for hearing</w:t>
      </w:r>
      <w:r w:rsidRPr="00C1714B">
        <w:rPr>
          <w:sz w:val="32"/>
        </w:rPr>
        <w:t>.  Members of the court may have commitments to hear appeals elsewhere, including interstate, after the expiration of that time.  It is therefore in yours and the court’s interests to prepare as comprehensive, accurate and persuasive a summary as possible.</w:t>
      </w:r>
    </w:p>
    <w:p w:rsidR="007E6DB4" w:rsidRDefault="007E6DB4" w:rsidP="007E6DB4">
      <w:pPr>
        <w:pStyle w:val="ListParagraph"/>
        <w:rPr>
          <w:sz w:val="32"/>
        </w:rPr>
      </w:pPr>
    </w:p>
    <w:p w:rsidR="007E6DB4" w:rsidRPr="002608A8" w:rsidRDefault="007E6DB4" w:rsidP="007E6DB4">
      <w:pPr>
        <w:rPr>
          <w:rFonts w:ascii="Calibri" w:eastAsia="Times New Roman" w:hAnsi="Calibri" w:cs="Times New Roman"/>
          <w:noProof/>
          <w:lang w:eastAsia="en-AU"/>
        </w:rPr>
      </w:pPr>
      <w:r>
        <w:rPr>
          <w:rFonts w:cs="Arial"/>
          <w:noProof/>
          <w:szCs w:val="20"/>
          <w:lang w:eastAsia="en-AU"/>
        </w:rPr>
        <w:t>Michael Hines is</w:t>
      </w:r>
      <w:r w:rsidRPr="002608A8">
        <w:rPr>
          <w:rFonts w:ascii="Arial" w:eastAsia="Times New Roman" w:hAnsi="Arial" w:cs="Arial"/>
          <w:noProof/>
          <w:sz w:val="20"/>
          <w:szCs w:val="20"/>
          <w:lang w:eastAsia="en-AU"/>
        </w:rPr>
        <w:t xml:space="preserve"> a member of the Victorian Bar Professional Standards Scheme approved under Profess</w:t>
      </w:r>
      <w:r>
        <w:rPr>
          <w:rFonts w:cs="Arial"/>
          <w:noProof/>
          <w:szCs w:val="20"/>
          <w:lang w:eastAsia="en-AU"/>
        </w:rPr>
        <w:t>ional Standards Legislation.  His</w:t>
      </w:r>
      <w:r w:rsidRPr="002608A8">
        <w:rPr>
          <w:rFonts w:ascii="Arial" w:eastAsia="Times New Roman" w:hAnsi="Arial" w:cs="Arial"/>
          <w:noProof/>
          <w:sz w:val="20"/>
          <w:szCs w:val="20"/>
          <w:lang w:eastAsia="en-AU"/>
        </w:rPr>
        <w:t xml:space="preserve"> liability is limited under that Scheme.  A copy of the Scheme will be supplied on request. </w:t>
      </w:r>
    </w:p>
    <w:p w:rsidR="007E6DB4" w:rsidRPr="00C1714B" w:rsidRDefault="007E6DB4" w:rsidP="007E6DB4">
      <w:pPr>
        <w:pStyle w:val="ListParagraph"/>
        <w:rPr>
          <w:sz w:val="32"/>
        </w:rPr>
      </w:pPr>
    </w:p>
    <w:p w:rsidR="00480618" w:rsidRPr="00C1714B" w:rsidRDefault="00480618" w:rsidP="00B6172B">
      <w:pPr>
        <w:pStyle w:val="ListParagraph"/>
        <w:rPr>
          <w:i/>
          <w:sz w:val="32"/>
        </w:rPr>
      </w:pPr>
    </w:p>
    <w:p w:rsidR="00A64726" w:rsidRDefault="00A64726" w:rsidP="005D70D2">
      <w:pPr>
        <w:pStyle w:val="ListParagraph"/>
      </w:pPr>
      <w:r>
        <w:t xml:space="preserve">  </w:t>
      </w:r>
    </w:p>
    <w:sectPr w:rsidR="00A6472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9E" w:rsidRDefault="008B4B9E" w:rsidP="004822C4">
      <w:pPr>
        <w:spacing w:after="0" w:line="240" w:lineRule="auto"/>
      </w:pPr>
      <w:r>
        <w:separator/>
      </w:r>
    </w:p>
  </w:endnote>
  <w:endnote w:type="continuationSeparator" w:id="0">
    <w:p w:rsidR="008B4B9E" w:rsidRDefault="008B4B9E" w:rsidP="0048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720361"/>
      <w:docPartObj>
        <w:docPartGallery w:val="Page Numbers (Bottom of Page)"/>
        <w:docPartUnique/>
      </w:docPartObj>
    </w:sdtPr>
    <w:sdtEndPr>
      <w:rPr>
        <w:noProof/>
      </w:rPr>
    </w:sdtEndPr>
    <w:sdtContent>
      <w:p w:rsidR="004822C4" w:rsidRDefault="004822C4">
        <w:pPr>
          <w:pStyle w:val="Footer"/>
        </w:pPr>
        <w:r>
          <w:fldChar w:fldCharType="begin"/>
        </w:r>
        <w:r>
          <w:instrText xml:space="preserve"> PAGE   \* MERGEFORMAT </w:instrText>
        </w:r>
        <w:r>
          <w:fldChar w:fldCharType="separate"/>
        </w:r>
        <w:r w:rsidR="00A3033F">
          <w:rPr>
            <w:noProof/>
          </w:rPr>
          <w:t>1</w:t>
        </w:r>
        <w:r>
          <w:rPr>
            <w:noProof/>
          </w:rPr>
          <w:fldChar w:fldCharType="end"/>
        </w:r>
      </w:p>
    </w:sdtContent>
  </w:sdt>
  <w:p w:rsidR="004822C4" w:rsidRDefault="00482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9E" w:rsidRDefault="008B4B9E" w:rsidP="004822C4">
      <w:pPr>
        <w:spacing w:after="0" w:line="240" w:lineRule="auto"/>
      </w:pPr>
      <w:r>
        <w:separator/>
      </w:r>
    </w:p>
  </w:footnote>
  <w:footnote w:type="continuationSeparator" w:id="0">
    <w:p w:rsidR="008B4B9E" w:rsidRDefault="008B4B9E" w:rsidP="004822C4">
      <w:pPr>
        <w:spacing w:after="0" w:line="240" w:lineRule="auto"/>
      </w:pPr>
      <w:r>
        <w:continuationSeparator/>
      </w:r>
    </w:p>
  </w:footnote>
  <w:footnote w:id="1">
    <w:p w:rsidR="00070733" w:rsidRDefault="00070733">
      <w:pPr>
        <w:pStyle w:val="FootnoteText"/>
      </w:pPr>
      <w:r>
        <w:rPr>
          <w:rStyle w:val="FootnoteReference"/>
        </w:rPr>
        <w:footnoteRef/>
      </w:r>
      <w:r>
        <w:t xml:space="preserve"> See s</w:t>
      </w:r>
      <w:r w:rsidR="008A5613">
        <w:t xml:space="preserve">s28 and </w:t>
      </w:r>
      <w:proofErr w:type="gramStart"/>
      <w:r>
        <w:t>94AAA</w:t>
      </w:r>
      <w:r w:rsidR="0013742D">
        <w:t>(</w:t>
      </w:r>
      <w:proofErr w:type="gramEnd"/>
      <w:r w:rsidR="0013742D">
        <w:t>1) and (3)</w:t>
      </w:r>
      <w:r>
        <w:t xml:space="preserve"> of the Act.</w:t>
      </w:r>
    </w:p>
  </w:footnote>
  <w:footnote w:id="2">
    <w:p w:rsidR="00070733" w:rsidRDefault="00070733">
      <w:pPr>
        <w:pStyle w:val="FootnoteText"/>
      </w:pPr>
      <w:r>
        <w:rPr>
          <w:rStyle w:val="FootnoteReference"/>
        </w:rPr>
        <w:footnoteRef/>
      </w:r>
      <w:r>
        <w:t xml:space="preserve"> See </w:t>
      </w:r>
      <w:proofErr w:type="gramStart"/>
      <w:r>
        <w:t>s</w:t>
      </w:r>
      <w:r w:rsidR="008A5613">
        <w:t>s28(</w:t>
      </w:r>
      <w:proofErr w:type="gramEnd"/>
      <w:r w:rsidR="008A5613">
        <w:t xml:space="preserve">3A) and </w:t>
      </w:r>
      <w:r>
        <w:t>94 of the Act.</w:t>
      </w:r>
    </w:p>
  </w:footnote>
  <w:footnote w:id="3">
    <w:p w:rsidR="00070733" w:rsidRDefault="00070733">
      <w:pPr>
        <w:pStyle w:val="FootnoteText"/>
      </w:pPr>
      <w:r>
        <w:rPr>
          <w:rStyle w:val="FootnoteReference"/>
        </w:rPr>
        <w:footnoteRef/>
      </w:r>
      <w:r>
        <w:t xml:space="preserve"> </w:t>
      </w:r>
      <w:r w:rsidR="0013742D">
        <w:t xml:space="preserve">See </w:t>
      </w:r>
      <w:proofErr w:type="gramStart"/>
      <w:r w:rsidR="0013742D">
        <w:t>ss94AAA(</w:t>
      </w:r>
      <w:proofErr w:type="gramEnd"/>
      <w:r w:rsidR="0013742D">
        <w:t>12) and 95 of the Act.</w:t>
      </w:r>
    </w:p>
  </w:footnote>
  <w:footnote w:id="4">
    <w:p w:rsidR="001C1FE0" w:rsidRPr="001C1FE0" w:rsidRDefault="001C1FE0">
      <w:pPr>
        <w:pStyle w:val="FootnoteText"/>
        <w:rPr>
          <w:lang w:val="en-US"/>
        </w:rPr>
      </w:pPr>
      <w:r>
        <w:rPr>
          <w:rStyle w:val="FootnoteReference"/>
        </w:rPr>
        <w:footnoteRef/>
      </w:r>
      <w:r>
        <w:t xml:space="preserve"> See the</w:t>
      </w:r>
      <w:r w:rsidRPr="001C1FE0">
        <w:rPr>
          <w:rFonts w:cstheme="minorHAnsi"/>
          <w:color w:val="000000"/>
          <w:sz w:val="32"/>
          <w:szCs w:val="32"/>
        </w:rPr>
        <w:t xml:space="preserve"> </w:t>
      </w:r>
      <w:r w:rsidRPr="001C1FE0">
        <w:rPr>
          <w:rFonts w:cstheme="minorHAnsi"/>
          <w:color w:val="000000"/>
          <w:szCs w:val="32"/>
        </w:rPr>
        <w:t>Federal Circuit and Family Court of Australia Bill 2018</w:t>
      </w:r>
      <w:r>
        <w:rPr>
          <w:rFonts w:cstheme="minorHAnsi"/>
          <w:color w:val="000000"/>
          <w:szCs w:val="32"/>
        </w:rPr>
        <w:t xml:space="preserve"> and the </w:t>
      </w:r>
      <w:r>
        <w:rPr>
          <w:rFonts w:cstheme="minorHAnsi"/>
          <w:szCs w:val="32"/>
        </w:rPr>
        <w:t xml:space="preserve">Federal Circuit </w:t>
      </w:r>
      <w:r w:rsidRPr="001C1FE0">
        <w:rPr>
          <w:rFonts w:cstheme="minorHAnsi"/>
          <w:color w:val="000000"/>
          <w:szCs w:val="32"/>
        </w:rPr>
        <w:t>and Family Court of Australia (Consequential Amendments and Transitional Provisions) Bill 2018.</w:t>
      </w:r>
    </w:p>
  </w:footnote>
  <w:footnote w:id="5">
    <w:p w:rsidR="00DF0083" w:rsidRDefault="00DF0083">
      <w:pPr>
        <w:pStyle w:val="FootnoteText"/>
      </w:pPr>
      <w:r>
        <w:rPr>
          <w:rStyle w:val="FootnoteReference"/>
        </w:rPr>
        <w:footnoteRef/>
      </w:r>
      <w:r>
        <w:t xml:space="preserve"> Ibid.</w:t>
      </w:r>
    </w:p>
  </w:footnote>
  <w:footnote w:id="6">
    <w:p w:rsidR="00DF0083" w:rsidRDefault="00DF0083">
      <w:pPr>
        <w:pStyle w:val="FootnoteText"/>
      </w:pPr>
      <w:r>
        <w:rPr>
          <w:rStyle w:val="FootnoteReference"/>
        </w:rPr>
        <w:footnoteRef/>
      </w:r>
      <w:r>
        <w:t xml:space="preserve"> Ibid.</w:t>
      </w:r>
    </w:p>
  </w:footnote>
  <w:footnote w:id="7">
    <w:p w:rsidR="00DF0083" w:rsidRDefault="00DF0083">
      <w:pPr>
        <w:pStyle w:val="FootnoteText"/>
      </w:pPr>
      <w:r>
        <w:rPr>
          <w:rStyle w:val="FootnoteReference"/>
        </w:rPr>
        <w:footnoteRef/>
      </w:r>
      <w:r w:rsidR="008A5613">
        <w:t>See</w:t>
      </w:r>
      <w:r w:rsidR="008A5613" w:rsidRPr="008A5613">
        <w:rPr>
          <w:i/>
        </w:rPr>
        <w:t xml:space="preserve"> </w:t>
      </w:r>
      <w:r w:rsidR="008A5613" w:rsidRPr="00DB1CE5">
        <w:rPr>
          <w:i/>
        </w:rPr>
        <w:t>Family Law Rules 2004</w:t>
      </w:r>
      <w:r w:rsidR="008A5613">
        <w:t xml:space="preserve"> (‘FLR’) 22.03.</w:t>
      </w:r>
      <w:r>
        <w:t xml:space="preserve"> </w:t>
      </w:r>
    </w:p>
  </w:footnote>
  <w:footnote w:id="8">
    <w:p w:rsidR="00DF0083" w:rsidRDefault="00DF0083">
      <w:pPr>
        <w:pStyle w:val="FootnoteText"/>
      </w:pPr>
      <w:r>
        <w:rPr>
          <w:rStyle w:val="FootnoteReference"/>
        </w:rPr>
        <w:footnoteRef/>
      </w:r>
      <w:r>
        <w:t xml:space="preserve">See </w:t>
      </w:r>
      <w:proofErr w:type="gramStart"/>
      <w:r>
        <w:t>s94(</w:t>
      </w:r>
      <w:proofErr w:type="gramEnd"/>
      <w:r>
        <w:t>5) and (10) and s94AAA(1A) and (2D) of the Act</w:t>
      </w:r>
      <w:r w:rsidR="008A5613">
        <w:t xml:space="preserve"> and FLR 1.14 and 22.03</w:t>
      </w:r>
      <w:r>
        <w:t>.</w:t>
      </w:r>
    </w:p>
  </w:footnote>
  <w:footnote w:id="9">
    <w:p w:rsidR="00DB1CE5" w:rsidRDefault="00DB1CE5">
      <w:pPr>
        <w:pStyle w:val="FootnoteText"/>
      </w:pPr>
      <w:r>
        <w:rPr>
          <w:rStyle w:val="FootnoteReference"/>
        </w:rPr>
        <w:footnoteRef/>
      </w:r>
      <w:r>
        <w:t xml:space="preserve"> See </w:t>
      </w:r>
      <w:r w:rsidR="008A5613">
        <w:t xml:space="preserve">FLR </w:t>
      </w:r>
      <w:r>
        <w:t>22.04.</w:t>
      </w:r>
    </w:p>
  </w:footnote>
  <w:footnote w:id="10">
    <w:p w:rsidR="000116E8" w:rsidRDefault="000116E8">
      <w:pPr>
        <w:pStyle w:val="FootnoteText"/>
      </w:pPr>
      <w:r>
        <w:rPr>
          <w:rStyle w:val="FootnoteReference"/>
        </w:rPr>
        <w:footnoteRef/>
      </w:r>
      <w:r>
        <w:t xml:space="preserve"> </w:t>
      </w:r>
      <w:r w:rsidR="00003BA1">
        <w:t xml:space="preserve">See </w:t>
      </w:r>
      <w:proofErr w:type="gramStart"/>
      <w:r w:rsidR="00003BA1">
        <w:t>ss94(</w:t>
      </w:r>
      <w:proofErr w:type="gramEnd"/>
      <w:r w:rsidR="00003BA1">
        <w:t>2) and 94AA</w:t>
      </w:r>
      <w:r>
        <w:t>A(1</w:t>
      </w:r>
      <w:r w:rsidR="00003BA1">
        <w:t xml:space="preserve">) of the Act. </w:t>
      </w:r>
    </w:p>
  </w:footnote>
  <w:footnote w:id="11">
    <w:p w:rsidR="008A5613" w:rsidRDefault="008A5613">
      <w:pPr>
        <w:pStyle w:val="FootnoteText"/>
      </w:pPr>
      <w:r>
        <w:rPr>
          <w:rStyle w:val="FootnoteReference"/>
        </w:rPr>
        <w:footnoteRef/>
      </w:r>
      <w:r>
        <w:t xml:space="preserve"> See FLR 22.09 (amendment of notice of appeal.)</w:t>
      </w:r>
    </w:p>
  </w:footnote>
  <w:footnote w:id="12">
    <w:p w:rsidR="00E12288" w:rsidRDefault="00E12288">
      <w:pPr>
        <w:pStyle w:val="FootnoteText"/>
      </w:pPr>
      <w:r>
        <w:rPr>
          <w:rStyle w:val="FootnoteReference"/>
        </w:rPr>
        <w:footnoteRef/>
      </w:r>
      <w:r>
        <w:t xml:space="preserve"> See FLR 22.11.</w:t>
      </w:r>
    </w:p>
  </w:footnote>
  <w:footnote w:id="13">
    <w:p w:rsidR="00003BA1" w:rsidRDefault="00003BA1">
      <w:pPr>
        <w:pStyle w:val="FootnoteText"/>
      </w:pPr>
      <w:r>
        <w:rPr>
          <w:rStyle w:val="FootnoteReference"/>
        </w:rPr>
        <w:footnoteRef/>
      </w:r>
      <w:r>
        <w:t xml:space="preserve"> See </w:t>
      </w:r>
      <w:proofErr w:type="gramStart"/>
      <w:r>
        <w:t>ss94(</w:t>
      </w:r>
      <w:proofErr w:type="gramEnd"/>
      <w:r>
        <w:t>2B) and (2D) and 94AAA(8) and (10)</w:t>
      </w:r>
      <w:r w:rsidR="00070733">
        <w:t xml:space="preserve"> of the Act</w:t>
      </w:r>
      <w:r>
        <w:t>.</w:t>
      </w:r>
      <w:r w:rsidR="00070733">
        <w:t xml:space="preserve">  There is no appeal from directions made by a Judge: see </w:t>
      </w:r>
      <w:proofErr w:type="gramStart"/>
      <w:r w:rsidR="00070733">
        <w:t>ss94(</w:t>
      </w:r>
      <w:proofErr w:type="gramEnd"/>
      <w:r w:rsidR="00070733">
        <w:t>2F) and 94AAA(12) of the Act.</w:t>
      </w:r>
    </w:p>
  </w:footnote>
  <w:footnote w:id="14">
    <w:p w:rsidR="00E12288" w:rsidRDefault="00E12288" w:rsidP="00F46050">
      <w:pPr>
        <w:pStyle w:val="FootnoteText"/>
        <w:tabs>
          <w:tab w:val="right" w:pos="9026"/>
        </w:tabs>
      </w:pPr>
      <w:r>
        <w:rPr>
          <w:rStyle w:val="FootnoteReference"/>
        </w:rPr>
        <w:footnoteRef/>
      </w:r>
      <w:r>
        <w:t xml:space="preserve"> See FLR 22.44.</w:t>
      </w:r>
      <w:r w:rsidR="00F46050">
        <w:tab/>
      </w:r>
    </w:p>
  </w:footnote>
  <w:footnote w:id="15">
    <w:p w:rsidR="00D64D37" w:rsidRDefault="00D64D37">
      <w:pPr>
        <w:pStyle w:val="FootnoteText"/>
      </w:pPr>
      <w:r>
        <w:rPr>
          <w:rStyle w:val="FootnoteReference"/>
        </w:rPr>
        <w:footnoteRef/>
      </w:r>
      <w:r>
        <w:t xml:space="preserve"> </w:t>
      </w:r>
      <w:proofErr w:type="gramStart"/>
      <w:r>
        <w:t>See FLR 22.39</w:t>
      </w:r>
      <w:r w:rsidR="00F14A0B">
        <w:t xml:space="preserve"> and Practice Direction 7/2004</w:t>
      </w:r>
      <w:r>
        <w:t>.</w:t>
      </w:r>
      <w:proofErr w:type="gramEnd"/>
    </w:p>
  </w:footnote>
  <w:footnote w:id="16">
    <w:p w:rsidR="00D64D37" w:rsidRDefault="00D64D37">
      <w:pPr>
        <w:pStyle w:val="FootnoteText"/>
      </w:pPr>
      <w:r>
        <w:rPr>
          <w:rStyle w:val="FootnoteReference"/>
        </w:rPr>
        <w:footnoteRef/>
      </w:r>
      <w:r>
        <w:t xml:space="preserve"> Ibid.</w:t>
      </w:r>
    </w:p>
  </w:footnote>
  <w:footnote w:id="17">
    <w:p w:rsidR="00D64D37" w:rsidRDefault="00D64D37">
      <w:pPr>
        <w:pStyle w:val="FootnoteText"/>
      </w:pPr>
      <w:r>
        <w:rPr>
          <w:rStyle w:val="FootnoteReference"/>
        </w:rPr>
        <w:footnoteRef/>
      </w:r>
      <w:r>
        <w:t xml:space="preserve"> Ibid.</w:t>
      </w:r>
    </w:p>
  </w:footnote>
  <w:footnote w:id="18">
    <w:p w:rsidR="00B6172B" w:rsidRDefault="00B6172B">
      <w:pPr>
        <w:pStyle w:val="FootnoteText"/>
      </w:pPr>
      <w:r>
        <w:rPr>
          <w:rStyle w:val="FootnoteReference"/>
        </w:rPr>
        <w:footnoteRef/>
      </w:r>
      <w:r>
        <w:t xml:space="preserve"> See FLR 22.22 and 22.26</w:t>
      </w:r>
      <w:r w:rsidR="00E437B6">
        <w:t xml:space="preserve"> and Practice Note 1/2017</w:t>
      </w:r>
      <w:r>
        <w:t>.</w:t>
      </w:r>
      <w:r w:rsidR="00FA1058">
        <w:t xml:space="preserve">  For the appellant, at least 28 days before the first day of sittings in which the appeal is listed for hearing, unless the court shortens or extends the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C4" w:rsidRDefault="004822C4">
    <w:pPr>
      <w:pStyle w:val="Header"/>
    </w:pPr>
    <w:r>
      <w:t>Appeals in Family Law</w:t>
    </w:r>
    <w:r w:rsidR="00962EB3">
      <w:t xml:space="preserve"> Property</w:t>
    </w:r>
    <w:r>
      <w:t xml:space="preserve"> Cases</w:t>
    </w:r>
    <w:r w:rsidR="00962EB3">
      <w:t xml:space="preserve"> by Michael Hines of the Victorian Bar</w:t>
    </w:r>
  </w:p>
  <w:p w:rsidR="004822C4" w:rsidRDefault="00482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E03DE"/>
    <w:multiLevelType w:val="hybridMultilevel"/>
    <w:tmpl w:val="F446C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E3841EC"/>
    <w:multiLevelType w:val="hybridMultilevel"/>
    <w:tmpl w:val="799CCC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C4"/>
    <w:rsid w:val="00003BA1"/>
    <w:rsid w:val="000116E8"/>
    <w:rsid w:val="00022982"/>
    <w:rsid w:val="00070733"/>
    <w:rsid w:val="00073FA1"/>
    <w:rsid w:val="000D294C"/>
    <w:rsid w:val="001118CE"/>
    <w:rsid w:val="0013742D"/>
    <w:rsid w:val="001459F3"/>
    <w:rsid w:val="0015421C"/>
    <w:rsid w:val="001C1FE0"/>
    <w:rsid w:val="00217484"/>
    <w:rsid w:val="00235C9C"/>
    <w:rsid w:val="00245464"/>
    <w:rsid w:val="00257670"/>
    <w:rsid w:val="00281144"/>
    <w:rsid w:val="00297BA1"/>
    <w:rsid w:val="002B4644"/>
    <w:rsid w:val="002B7474"/>
    <w:rsid w:val="003918A0"/>
    <w:rsid w:val="003B4ED2"/>
    <w:rsid w:val="003F1D01"/>
    <w:rsid w:val="00415302"/>
    <w:rsid w:val="004257B5"/>
    <w:rsid w:val="00453855"/>
    <w:rsid w:val="00480618"/>
    <w:rsid w:val="004822C4"/>
    <w:rsid w:val="004B7F27"/>
    <w:rsid w:val="004C3EC1"/>
    <w:rsid w:val="004F61D0"/>
    <w:rsid w:val="00504722"/>
    <w:rsid w:val="00571138"/>
    <w:rsid w:val="005716B7"/>
    <w:rsid w:val="00585DD2"/>
    <w:rsid w:val="005C5D72"/>
    <w:rsid w:val="005D70D2"/>
    <w:rsid w:val="00623230"/>
    <w:rsid w:val="00731106"/>
    <w:rsid w:val="007454F3"/>
    <w:rsid w:val="007C23E0"/>
    <w:rsid w:val="007D7C8B"/>
    <w:rsid w:val="007E6DB4"/>
    <w:rsid w:val="008356F0"/>
    <w:rsid w:val="00840C6F"/>
    <w:rsid w:val="008A5613"/>
    <w:rsid w:val="008B4B4D"/>
    <w:rsid w:val="008B4B9E"/>
    <w:rsid w:val="008E57C2"/>
    <w:rsid w:val="00931200"/>
    <w:rsid w:val="00962EB3"/>
    <w:rsid w:val="00A028C7"/>
    <w:rsid w:val="00A3033F"/>
    <w:rsid w:val="00A4144B"/>
    <w:rsid w:val="00A46F7F"/>
    <w:rsid w:val="00A64726"/>
    <w:rsid w:val="00A85737"/>
    <w:rsid w:val="00A864E1"/>
    <w:rsid w:val="00B6172B"/>
    <w:rsid w:val="00B87E78"/>
    <w:rsid w:val="00BA17CE"/>
    <w:rsid w:val="00BD3243"/>
    <w:rsid w:val="00C1714B"/>
    <w:rsid w:val="00C27A8A"/>
    <w:rsid w:val="00C40B41"/>
    <w:rsid w:val="00C521E3"/>
    <w:rsid w:val="00C6460A"/>
    <w:rsid w:val="00D440F5"/>
    <w:rsid w:val="00D64D37"/>
    <w:rsid w:val="00D931DB"/>
    <w:rsid w:val="00DB1CE5"/>
    <w:rsid w:val="00DF0083"/>
    <w:rsid w:val="00DF01C0"/>
    <w:rsid w:val="00E008D7"/>
    <w:rsid w:val="00E12288"/>
    <w:rsid w:val="00E354FC"/>
    <w:rsid w:val="00E437B6"/>
    <w:rsid w:val="00F14A0B"/>
    <w:rsid w:val="00F15FC8"/>
    <w:rsid w:val="00F46050"/>
    <w:rsid w:val="00F76470"/>
    <w:rsid w:val="00F8342A"/>
    <w:rsid w:val="00F94E59"/>
    <w:rsid w:val="00F95899"/>
    <w:rsid w:val="00FA1058"/>
    <w:rsid w:val="00FE2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2C4"/>
  </w:style>
  <w:style w:type="paragraph" w:styleId="Footer">
    <w:name w:val="footer"/>
    <w:basedOn w:val="Normal"/>
    <w:link w:val="FooterChar"/>
    <w:uiPriority w:val="99"/>
    <w:unhideWhenUsed/>
    <w:rsid w:val="0048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2C4"/>
  </w:style>
  <w:style w:type="paragraph" w:styleId="BalloonText">
    <w:name w:val="Balloon Text"/>
    <w:basedOn w:val="Normal"/>
    <w:link w:val="BalloonTextChar"/>
    <w:uiPriority w:val="99"/>
    <w:semiHidden/>
    <w:unhideWhenUsed/>
    <w:rsid w:val="0048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C4"/>
    <w:rPr>
      <w:rFonts w:ascii="Tahoma" w:hAnsi="Tahoma" w:cs="Tahoma"/>
      <w:sz w:val="16"/>
      <w:szCs w:val="16"/>
    </w:rPr>
  </w:style>
  <w:style w:type="paragraph" w:styleId="ListParagraph">
    <w:name w:val="List Paragraph"/>
    <w:basedOn w:val="Normal"/>
    <w:uiPriority w:val="34"/>
    <w:qFormat/>
    <w:rsid w:val="00962EB3"/>
    <w:pPr>
      <w:ind w:left="720"/>
      <w:contextualSpacing/>
    </w:pPr>
  </w:style>
  <w:style w:type="character" w:customStyle="1" w:styleId="apple-converted-space">
    <w:name w:val="apple-converted-space"/>
    <w:basedOn w:val="DefaultParagraphFont"/>
    <w:rsid w:val="00D931DB"/>
  </w:style>
  <w:style w:type="character" w:styleId="Hyperlink">
    <w:name w:val="Hyperlink"/>
    <w:basedOn w:val="DefaultParagraphFont"/>
    <w:uiPriority w:val="99"/>
    <w:semiHidden/>
    <w:unhideWhenUsed/>
    <w:rsid w:val="00D931DB"/>
    <w:rPr>
      <w:color w:val="0000FF"/>
      <w:u w:val="single"/>
    </w:rPr>
  </w:style>
  <w:style w:type="paragraph" w:styleId="FootnoteText">
    <w:name w:val="footnote text"/>
    <w:basedOn w:val="Normal"/>
    <w:link w:val="FootnoteTextChar"/>
    <w:uiPriority w:val="99"/>
    <w:semiHidden/>
    <w:unhideWhenUsed/>
    <w:rsid w:val="005C5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D72"/>
    <w:rPr>
      <w:sz w:val="20"/>
      <w:szCs w:val="20"/>
    </w:rPr>
  </w:style>
  <w:style w:type="character" w:styleId="FootnoteReference">
    <w:name w:val="footnote reference"/>
    <w:basedOn w:val="DefaultParagraphFont"/>
    <w:uiPriority w:val="99"/>
    <w:semiHidden/>
    <w:unhideWhenUsed/>
    <w:rsid w:val="005C5D72"/>
    <w:rPr>
      <w:vertAlign w:val="superscript"/>
    </w:rPr>
  </w:style>
  <w:style w:type="paragraph" w:customStyle="1" w:styleId="p1">
    <w:name w:val="p1"/>
    <w:basedOn w:val="Normal"/>
    <w:rsid w:val="00FA10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14A0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2C4"/>
  </w:style>
  <w:style w:type="paragraph" w:styleId="Footer">
    <w:name w:val="footer"/>
    <w:basedOn w:val="Normal"/>
    <w:link w:val="FooterChar"/>
    <w:uiPriority w:val="99"/>
    <w:unhideWhenUsed/>
    <w:rsid w:val="0048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2C4"/>
  </w:style>
  <w:style w:type="paragraph" w:styleId="BalloonText">
    <w:name w:val="Balloon Text"/>
    <w:basedOn w:val="Normal"/>
    <w:link w:val="BalloonTextChar"/>
    <w:uiPriority w:val="99"/>
    <w:semiHidden/>
    <w:unhideWhenUsed/>
    <w:rsid w:val="0048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C4"/>
    <w:rPr>
      <w:rFonts w:ascii="Tahoma" w:hAnsi="Tahoma" w:cs="Tahoma"/>
      <w:sz w:val="16"/>
      <w:szCs w:val="16"/>
    </w:rPr>
  </w:style>
  <w:style w:type="paragraph" w:styleId="ListParagraph">
    <w:name w:val="List Paragraph"/>
    <w:basedOn w:val="Normal"/>
    <w:uiPriority w:val="34"/>
    <w:qFormat/>
    <w:rsid w:val="00962EB3"/>
    <w:pPr>
      <w:ind w:left="720"/>
      <w:contextualSpacing/>
    </w:pPr>
  </w:style>
  <w:style w:type="character" w:customStyle="1" w:styleId="apple-converted-space">
    <w:name w:val="apple-converted-space"/>
    <w:basedOn w:val="DefaultParagraphFont"/>
    <w:rsid w:val="00D931DB"/>
  </w:style>
  <w:style w:type="character" w:styleId="Hyperlink">
    <w:name w:val="Hyperlink"/>
    <w:basedOn w:val="DefaultParagraphFont"/>
    <w:uiPriority w:val="99"/>
    <w:semiHidden/>
    <w:unhideWhenUsed/>
    <w:rsid w:val="00D931DB"/>
    <w:rPr>
      <w:color w:val="0000FF"/>
      <w:u w:val="single"/>
    </w:rPr>
  </w:style>
  <w:style w:type="paragraph" w:styleId="FootnoteText">
    <w:name w:val="footnote text"/>
    <w:basedOn w:val="Normal"/>
    <w:link w:val="FootnoteTextChar"/>
    <w:uiPriority w:val="99"/>
    <w:semiHidden/>
    <w:unhideWhenUsed/>
    <w:rsid w:val="005C5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D72"/>
    <w:rPr>
      <w:sz w:val="20"/>
      <w:szCs w:val="20"/>
    </w:rPr>
  </w:style>
  <w:style w:type="character" w:styleId="FootnoteReference">
    <w:name w:val="footnote reference"/>
    <w:basedOn w:val="DefaultParagraphFont"/>
    <w:uiPriority w:val="99"/>
    <w:semiHidden/>
    <w:unhideWhenUsed/>
    <w:rsid w:val="005C5D72"/>
    <w:rPr>
      <w:vertAlign w:val="superscript"/>
    </w:rPr>
  </w:style>
  <w:style w:type="paragraph" w:customStyle="1" w:styleId="p1">
    <w:name w:val="p1"/>
    <w:basedOn w:val="Normal"/>
    <w:rsid w:val="00FA10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14A0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830">
      <w:bodyDiv w:val="1"/>
      <w:marLeft w:val="0"/>
      <w:marRight w:val="0"/>
      <w:marTop w:val="0"/>
      <w:marBottom w:val="0"/>
      <w:divBdr>
        <w:top w:val="none" w:sz="0" w:space="0" w:color="auto"/>
        <w:left w:val="none" w:sz="0" w:space="0" w:color="auto"/>
        <w:bottom w:val="none" w:sz="0" w:space="0" w:color="auto"/>
        <w:right w:val="none" w:sz="0" w:space="0" w:color="auto"/>
      </w:divBdr>
    </w:div>
    <w:div w:id="1091976278">
      <w:bodyDiv w:val="1"/>
      <w:marLeft w:val="0"/>
      <w:marRight w:val="0"/>
      <w:marTop w:val="0"/>
      <w:marBottom w:val="0"/>
      <w:divBdr>
        <w:top w:val="none" w:sz="0" w:space="0" w:color="auto"/>
        <w:left w:val="none" w:sz="0" w:space="0" w:color="auto"/>
        <w:bottom w:val="none" w:sz="0" w:space="0" w:color="auto"/>
        <w:right w:val="none" w:sz="0" w:space="0" w:color="auto"/>
      </w:divBdr>
    </w:div>
    <w:div w:id="1861819650">
      <w:bodyDiv w:val="1"/>
      <w:marLeft w:val="0"/>
      <w:marRight w:val="0"/>
      <w:marTop w:val="0"/>
      <w:marBottom w:val="0"/>
      <w:divBdr>
        <w:top w:val="none" w:sz="0" w:space="0" w:color="auto"/>
        <w:left w:val="none" w:sz="0" w:space="0" w:color="auto"/>
        <w:bottom w:val="none" w:sz="0" w:space="0" w:color="auto"/>
        <w:right w:val="none" w:sz="0" w:space="0" w:color="auto"/>
      </w:divBdr>
    </w:div>
    <w:div w:id="1898467088">
      <w:bodyDiv w:val="1"/>
      <w:marLeft w:val="0"/>
      <w:marRight w:val="0"/>
      <w:marTop w:val="0"/>
      <w:marBottom w:val="0"/>
      <w:divBdr>
        <w:top w:val="none" w:sz="0" w:space="0" w:color="auto"/>
        <w:left w:val="none" w:sz="0" w:space="0" w:color="auto"/>
        <w:bottom w:val="none" w:sz="0" w:space="0" w:color="auto"/>
        <w:right w:val="none" w:sz="0" w:space="0" w:color="auto"/>
      </w:divBdr>
    </w:div>
    <w:div w:id="19988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Full_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E1A9-0827-47A0-8F58-11DC28DE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mxhb</dc:creator>
  <cp:lastModifiedBy>mxhb</cp:lastModifiedBy>
  <cp:revision>2</cp:revision>
  <dcterms:created xsi:type="dcterms:W3CDTF">2018-10-10T06:06:00Z</dcterms:created>
  <dcterms:modified xsi:type="dcterms:W3CDTF">2018-10-10T06:06:00Z</dcterms:modified>
</cp:coreProperties>
</file>